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2617A" w14:textId="77777777" w:rsidR="00EB4A5C" w:rsidRPr="000272A3" w:rsidRDefault="00EB4A5C" w:rsidP="0031483E">
      <w:pPr>
        <w:rPr>
          <w:rFonts w:ascii="Roboto Regular" w:hAnsi="Roboto Regular" w:cs="Times New Roman"/>
          <w:b/>
          <w:noProof/>
          <w:sz w:val="22"/>
          <w:szCs w:val="22"/>
          <w:lang w:val="en-GB"/>
        </w:rPr>
      </w:pPr>
    </w:p>
    <w:p w14:paraId="2D125F16" w14:textId="77777777" w:rsidR="00CA7B26" w:rsidRPr="000272A3" w:rsidRDefault="00CA7B26" w:rsidP="0031483E">
      <w:pPr>
        <w:rPr>
          <w:rFonts w:ascii="Roboto Regular" w:hAnsi="Roboto Regular" w:cs="Times New Roman"/>
          <w:b/>
          <w:noProof/>
          <w:sz w:val="22"/>
          <w:szCs w:val="22"/>
          <w:lang w:val="en-GB"/>
        </w:rPr>
      </w:pPr>
    </w:p>
    <w:p w14:paraId="27D31F2D" w14:textId="769A7DBC" w:rsidR="00BE0DA3" w:rsidRPr="000272A3" w:rsidRDefault="00EB4A5C" w:rsidP="0031483E">
      <w:pPr>
        <w:rPr>
          <w:rFonts w:ascii="Roboto Regular" w:hAnsi="Roboto Regular" w:cs="Times New Roman"/>
          <w:b/>
          <w:noProof/>
          <w:sz w:val="22"/>
          <w:szCs w:val="22"/>
          <w:lang w:val="en-GB"/>
        </w:rPr>
      </w:pPr>
      <w:r w:rsidRPr="000272A3">
        <w:rPr>
          <w:rFonts w:ascii="Roboto Regular" w:hAnsi="Roboto Regular" w:cs="Times New Roman"/>
          <w:b/>
          <w:noProof/>
          <w:sz w:val="22"/>
          <w:szCs w:val="22"/>
          <w:lang w:val="en-GB"/>
        </w:rPr>
        <w:tab/>
      </w:r>
    </w:p>
    <w:p w14:paraId="54C81471" w14:textId="77777777" w:rsidR="000272A3" w:rsidRPr="000272A3" w:rsidRDefault="000272A3" w:rsidP="000272A3">
      <w:pPr>
        <w:tabs>
          <w:tab w:val="left" w:pos="3104"/>
          <w:tab w:val="center" w:pos="4596"/>
        </w:tabs>
        <w:jc w:val="center"/>
        <w:rPr>
          <w:rFonts w:ascii="Roboto Regular" w:hAnsi="Roboto Regular" w:cs="Arial"/>
          <w:b/>
          <w:smallCaps/>
          <w:sz w:val="28"/>
          <w:lang w:val="en-GB"/>
        </w:rPr>
      </w:pPr>
      <w:r w:rsidRPr="000272A3">
        <w:rPr>
          <w:rFonts w:ascii="Roboto Regular" w:hAnsi="Roboto Regular" w:cs="Arial"/>
          <w:b/>
          <w:smallCaps/>
          <w:sz w:val="28"/>
          <w:lang w:val="en-GB"/>
        </w:rPr>
        <w:t>Project Concept Note</w:t>
      </w:r>
    </w:p>
    <w:p w14:paraId="1AC5143C" w14:textId="77777777" w:rsidR="000272A3" w:rsidRPr="000272A3" w:rsidRDefault="000272A3" w:rsidP="000272A3">
      <w:pPr>
        <w:tabs>
          <w:tab w:val="left" w:pos="3104"/>
          <w:tab w:val="center" w:pos="4596"/>
        </w:tabs>
        <w:jc w:val="center"/>
        <w:rPr>
          <w:rFonts w:ascii="Roboto Regular" w:hAnsi="Roboto Regular" w:cs="Arial"/>
          <w:b/>
          <w:smallCaps/>
          <w:sz w:val="28"/>
          <w:szCs w:val="28"/>
          <w:lang w:val="en-GB"/>
        </w:rPr>
      </w:pPr>
    </w:p>
    <w:tbl>
      <w:tblPr>
        <w:tblStyle w:val="TableGrid"/>
        <w:tblW w:w="9923" w:type="dxa"/>
        <w:tblInd w:w="-318" w:type="dxa"/>
        <w:tblLook w:val="04A0" w:firstRow="1" w:lastRow="0" w:firstColumn="1" w:lastColumn="0" w:noHBand="0" w:noVBand="1"/>
      </w:tblPr>
      <w:tblGrid>
        <w:gridCol w:w="2978"/>
        <w:gridCol w:w="709"/>
        <w:gridCol w:w="713"/>
        <w:gridCol w:w="561"/>
        <w:gridCol w:w="932"/>
        <w:gridCol w:w="563"/>
        <w:gridCol w:w="3467"/>
      </w:tblGrid>
      <w:tr w:rsidR="000272A3" w:rsidRPr="000272A3" w14:paraId="613B4FEC" w14:textId="77777777" w:rsidTr="0088010B">
        <w:trPr>
          <w:trHeight w:val="232"/>
        </w:trPr>
        <w:tc>
          <w:tcPr>
            <w:tcW w:w="3687" w:type="dxa"/>
            <w:gridSpan w:val="2"/>
            <w:tcBorders>
              <w:bottom w:val="nil"/>
            </w:tcBorders>
            <w:shd w:val="clear" w:color="auto" w:fill="9CCCBA"/>
            <w:vAlign w:val="center"/>
          </w:tcPr>
          <w:p w14:paraId="15A60BD4" w14:textId="77777777" w:rsidR="000272A3" w:rsidRPr="000272A3" w:rsidRDefault="000272A3" w:rsidP="0088010B">
            <w:pPr>
              <w:ind w:left="-426" w:firstLine="426"/>
              <w:rPr>
                <w:rFonts w:ascii="Roboto Regular" w:hAnsi="Roboto Regular" w:cs="Arial"/>
                <w:b/>
                <w:sz w:val="20"/>
                <w:szCs w:val="20"/>
              </w:rPr>
            </w:pPr>
            <w:r w:rsidRPr="000272A3">
              <w:rPr>
                <w:rFonts w:ascii="Roboto Regular" w:hAnsi="Roboto Regular" w:cs="Arial"/>
                <w:b/>
                <w:sz w:val="20"/>
                <w:szCs w:val="20"/>
              </w:rPr>
              <w:t>CONVENTIONS :</w:t>
            </w:r>
          </w:p>
        </w:tc>
        <w:tc>
          <w:tcPr>
            <w:tcW w:w="6236" w:type="dxa"/>
            <w:gridSpan w:val="5"/>
            <w:tcBorders>
              <w:bottom w:val="nil"/>
            </w:tcBorders>
            <w:shd w:val="clear" w:color="auto" w:fill="9CCCBA"/>
            <w:vAlign w:val="center"/>
          </w:tcPr>
          <w:p w14:paraId="1E20892D"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rPr>
              <w:t>PROJECT TITLE :</w:t>
            </w:r>
          </w:p>
        </w:tc>
      </w:tr>
      <w:tr w:rsidR="000272A3" w:rsidRPr="000272A3" w14:paraId="63F019A5" w14:textId="77777777" w:rsidTr="0088010B">
        <w:trPr>
          <w:trHeight w:val="454"/>
        </w:trPr>
        <w:tc>
          <w:tcPr>
            <w:tcW w:w="3687" w:type="dxa"/>
            <w:gridSpan w:val="2"/>
            <w:tcBorders>
              <w:top w:val="nil"/>
              <w:bottom w:val="single" w:sz="4" w:space="0" w:color="auto"/>
            </w:tcBorders>
            <w:vAlign w:val="center"/>
          </w:tcPr>
          <w:p w14:paraId="3B760300" w14:textId="50A52D1F" w:rsidR="000272A3" w:rsidRPr="000272A3" w:rsidRDefault="00237903" w:rsidP="00237903">
            <w:pPr>
              <w:rPr>
                <w:rFonts w:ascii="Roboto Regular" w:hAnsi="Roboto Regular" w:cs="Arial"/>
                <w:sz w:val="20"/>
                <w:szCs w:val="20"/>
              </w:rPr>
            </w:pPr>
            <w:r>
              <w:rPr>
                <w:rFonts w:ascii="Roboto Regular" w:eastAsia="MS Gothic" w:hAnsi="Roboto Regular" w:cs="Arial"/>
                <w:sz w:val="20"/>
                <w:szCs w:val="20"/>
              </w:rPr>
              <w:sym w:font="Wingdings" w:char="F06F"/>
            </w:r>
            <w:r w:rsidR="000272A3" w:rsidRPr="000272A3">
              <w:rPr>
                <w:rFonts w:ascii="Roboto Regular" w:hAnsi="Roboto Regular" w:cs="Arial"/>
                <w:sz w:val="20"/>
                <w:szCs w:val="20"/>
              </w:rPr>
              <w:t xml:space="preserve">BC   </w:t>
            </w:r>
            <w:r w:rsidR="00451FA8">
              <w:rPr>
                <w:rFonts w:ascii="Roboto Regular" w:eastAsia="MS Gothic" w:hAnsi="Roboto Regular" w:cs="Arial"/>
                <w:sz w:val="20"/>
                <w:szCs w:val="20"/>
              </w:rPr>
              <w:sym w:font="Wingdings" w:char="F06E"/>
            </w:r>
            <w:r w:rsidR="000272A3" w:rsidRPr="000272A3">
              <w:rPr>
                <w:rFonts w:ascii="Roboto Regular" w:hAnsi="Roboto Regular" w:cs="Arial"/>
                <w:sz w:val="20"/>
                <w:szCs w:val="20"/>
              </w:rPr>
              <w:t xml:space="preserve">RC   </w:t>
            </w:r>
            <w:r>
              <w:rPr>
                <w:rFonts w:ascii="Roboto Regular" w:eastAsia="MS Gothic" w:hAnsi="Roboto Regular" w:cs="Arial"/>
                <w:sz w:val="20"/>
                <w:szCs w:val="20"/>
              </w:rPr>
              <w:sym w:font="Wingdings" w:char="F06F"/>
            </w:r>
            <w:r w:rsidR="000272A3" w:rsidRPr="000272A3">
              <w:rPr>
                <w:rFonts w:ascii="Roboto Regular" w:hAnsi="Roboto Regular" w:cs="Arial"/>
                <w:sz w:val="20"/>
                <w:szCs w:val="20"/>
              </w:rPr>
              <w:t xml:space="preserve">SC   </w:t>
            </w:r>
            <w:r>
              <w:rPr>
                <w:rFonts w:ascii="Roboto Regular" w:eastAsia="MS Gothic" w:hAnsi="Roboto Regular" w:cs="Arial"/>
                <w:sz w:val="20"/>
                <w:szCs w:val="20"/>
              </w:rPr>
              <w:sym w:font="Wingdings" w:char="F06F"/>
            </w:r>
            <w:r w:rsidR="000272A3" w:rsidRPr="000272A3">
              <w:rPr>
                <w:rFonts w:ascii="Roboto Regular" w:hAnsi="Roboto Regular" w:cs="Arial"/>
                <w:sz w:val="20"/>
                <w:szCs w:val="20"/>
              </w:rPr>
              <w:t>SYN</w:t>
            </w:r>
          </w:p>
        </w:tc>
        <w:tc>
          <w:tcPr>
            <w:tcW w:w="6236" w:type="dxa"/>
            <w:gridSpan w:val="5"/>
            <w:tcBorders>
              <w:top w:val="nil"/>
              <w:bottom w:val="single" w:sz="4" w:space="0" w:color="auto"/>
            </w:tcBorders>
            <w:vAlign w:val="center"/>
          </w:tcPr>
          <w:p w14:paraId="395DF0EA" w14:textId="2E77E142" w:rsidR="000272A3" w:rsidRPr="00CB52E2" w:rsidRDefault="001D0328" w:rsidP="0088010B">
            <w:pPr>
              <w:rPr>
                <w:rFonts w:ascii="Roboto Regular" w:hAnsi="Roboto Regular" w:cs="Arial"/>
                <w:b/>
                <w:sz w:val="20"/>
                <w:szCs w:val="20"/>
              </w:rPr>
            </w:pPr>
            <w:r w:rsidRPr="001D0328">
              <w:rPr>
                <w:rFonts w:ascii="Roboto Regular" w:hAnsi="Roboto Regular" w:cs="Arial"/>
                <w:b/>
                <w:sz w:val="20"/>
                <w:szCs w:val="20"/>
              </w:rPr>
              <w:t xml:space="preserve">Training and capacity development activities under the Rotterdam Convention  </w:t>
            </w:r>
            <w:r>
              <w:rPr>
                <w:rFonts w:ascii="Roboto Regular" w:hAnsi="Roboto Regular" w:cs="Arial"/>
                <w:b/>
                <w:sz w:val="20"/>
                <w:szCs w:val="20"/>
              </w:rPr>
              <w:t>(</w:t>
            </w:r>
            <w:proofErr w:type="spellStart"/>
            <w:r>
              <w:rPr>
                <w:rFonts w:ascii="Roboto Regular" w:hAnsi="Roboto Regular" w:cs="Arial"/>
                <w:b/>
                <w:sz w:val="20"/>
                <w:szCs w:val="20"/>
              </w:rPr>
              <w:t>PoW</w:t>
            </w:r>
            <w:proofErr w:type="spellEnd"/>
            <w:r>
              <w:rPr>
                <w:rFonts w:ascii="Roboto Regular" w:hAnsi="Roboto Regular" w:cs="Arial"/>
                <w:b/>
                <w:sz w:val="20"/>
                <w:szCs w:val="20"/>
              </w:rPr>
              <w:t xml:space="preserve"> 15)</w:t>
            </w:r>
          </w:p>
        </w:tc>
      </w:tr>
      <w:tr w:rsidR="000272A3" w:rsidRPr="000272A3" w14:paraId="07BA12F5" w14:textId="77777777" w:rsidTr="0088010B">
        <w:trPr>
          <w:trHeight w:val="227"/>
        </w:trPr>
        <w:tc>
          <w:tcPr>
            <w:tcW w:w="3687" w:type="dxa"/>
            <w:gridSpan w:val="2"/>
            <w:tcBorders>
              <w:top w:val="single" w:sz="4" w:space="0" w:color="auto"/>
              <w:bottom w:val="nil"/>
            </w:tcBorders>
            <w:shd w:val="clear" w:color="auto" w:fill="C7E3D8"/>
            <w:vAlign w:val="center"/>
          </w:tcPr>
          <w:p w14:paraId="0D14CA94" w14:textId="77777777" w:rsidR="000272A3" w:rsidRPr="000272A3" w:rsidRDefault="000272A3" w:rsidP="0088010B">
            <w:pPr>
              <w:rPr>
                <w:rFonts w:ascii="Roboto Regular" w:eastAsia="MS Gothic" w:hAnsi="Roboto Regular" w:cs="Arial"/>
                <w:b/>
                <w:sz w:val="20"/>
                <w:szCs w:val="20"/>
                <w:shd w:val="clear" w:color="auto" w:fill="C7E3D8"/>
              </w:rPr>
            </w:pPr>
            <w:r w:rsidRPr="000272A3">
              <w:rPr>
                <w:rFonts w:ascii="Roboto Regular" w:eastAsia="MS Gothic" w:hAnsi="Roboto Regular" w:cs="Arial"/>
                <w:b/>
                <w:sz w:val="20"/>
                <w:szCs w:val="20"/>
                <w:shd w:val="clear" w:color="auto" w:fill="C7E3D8"/>
              </w:rPr>
              <w:t>FUNDING OPTIONS:</w:t>
            </w:r>
          </w:p>
        </w:tc>
        <w:tc>
          <w:tcPr>
            <w:tcW w:w="2769" w:type="dxa"/>
            <w:gridSpan w:val="4"/>
            <w:tcBorders>
              <w:top w:val="single" w:sz="4" w:space="0" w:color="auto"/>
              <w:bottom w:val="nil"/>
            </w:tcBorders>
            <w:shd w:val="clear" w:color="auto" w:fill="C7E3D8"/>
            <w:vAlign w:val="center"/>
          </w:tcPr>
          <w:p w14:paraId="71AC3800" w14:textId="77777777" w:rsidR="000272A3" w:rsidRPr="000272A3" w:rsidRDefault="000272A3" w:rsidP="0088010B">
            <w:pPr>
              <w:rPr>
                <w:rFonts w:ascii="Roboto Regular" w:eastAsia="MS Gothic" w:hAnsi="Roboto Regular" w:cs="Arial"/>
                <w:b/>
                <w:sz w:val="20"/>
                <w:szCs w:val="20"/>
                <w:shd w:val="clear" w:color="auto" w:fill="C7E3D8"/>
              </w:rPr>
            </w:pPr>
            <w:r w:rsidRPr="000272A3">
              <w:rPr>
                <w:rFonts w:ascii="Roboto Regular" w:hAnsi="Roboto Regular" w:cs="Arial"/>
                <w:b/>
                <w:sz w:val="20"/>
                <w:szCs w:val="20"/>
                <w:shd w:val="clear" w:color="auto" w:fill="C7E3D8"/>
              </w:rPr>
              <w:t>TYPE / LOCATION</w:t>
            </w:r>
          </w:p>
        </w:tc>
        <w:tc>
          <w:tcPr>
            <w:tcW w:w="3467" w:type="dxa"/>
            <w:tcBorders>
              <w:top w:val="single" w:sz="4" w:space="0" w:color="auto"/>
              <w:bottom w:val="nil"/>
            </w:tcBorders>
            <w:shd w:val="clear" w:color="auto" w:fill="C7E3D8"/>
            <w:vAlign w:val="center"/>
          </w:tcPr>
          <w:p w14:paraId="76ED4697" w14:textId="77777777" w:rsidR="000272A3" w:rsidRPr="000272A3" w:rsidRDefault="000272A3" w:rsidP="0088010B">
            <w:pPr>
              <w:rPr>
                <w:rFonts w:ascii="Roboto Regular" w:eastAsia="MS Gothic" w:hAnsi="Roboto Regular" w:cs="Arial"/>
                <w:b/>
                <w:sz w:val="20"/>
                <w:szCs w:val="20"/>
                <w:shd w:val="clear" w:color="auto" w:fill="C7E3D8"/>
              </w:rPr>
            </w:pPr>
            <w:r w:rsidRPr="000272A3">
              <w:rPr>
                <w:rFonts w:ascii="Roboto Regular" w:hAnsi="Roboto Regular" w:cs="Arial"/>
                <w:b/>
                <w:sz w:val="20"/>
                <w:szCs w:val="20"/>
                <w:shd w:val="clear" w:color="auto" w:fill="C7E3D8"/>
              </w:rPr>
              <w:t>TARGETED COUNTRIES:</w:t>
            </w:r>
          </w:p>
        </w:tc>
      </w:tr>
      <w:tr w:rsidR="000272A3" w:rsidRPr="000272A3" w14:paraId="6E435865" w14:textId="77777777" w:rsidTr="0088010B">
        <w:trPr>
          <w:trHeight w:val="567"/>
        </w:trPr>
        <w:tc>
          <w:tcPr>
            <w:tcW w:w="3687" w:type="dxa"/>
            <w:gridSpan w:val="2"/>
            <w:tcBorders>
              <w:top w:val="nil"/>
              <w:bottom w:val="single" w:sz="4" w:space="0" w:color="auto"/>
            </w:tcBorders>
            <w:vAlign w:val="center"/>
          </w:tcPr>
          <w:p w14:paraId="0875FD7A" w14:textId="77777777" w:rsidR="000272A3" w:rsidRPr="000272A3" w:rsidRDefault="000272A3" w:rsidP="0088010B">
            <w:pPr>
              <w:rPr>
                <w:rFonts w:ascii="Roboto Regular" w:eastAsia="MS Gothic" w:hAnsi="Roboto Regular" w:cs="Arial"/>
                <w:sz w:val="20"/>
                <w:szCs w:val="20"/>
                <w:lang w:val="en-GB"/>
              </w:rPr>
            </w:pPr>
            <w:r w:rsidRPr="000272A3">
              <w:rPr>
                <w:rFonts w:ascii="Roboto Regular" w:eastAsia="MS Gothic" w:hAnsi="Roboto Regular" w:cs="Arial"/>
                <w:sz w:val="20"/>
                <w:szCs w:val="20"/>
              </w:rPr>
              <w:sym w:font="Wingdings" w:char="F06F"/>
            </w:r>
            <w:r w:rsidRPr="000272A3">
              <w:rPr>
                <w:rFonts w:ascii="Roboto Regular" w:eastAsia="MS Gothic" w:hAnsi="Roboto Regular" w:cs="Arial"/>
                <w:sz w:val="20"/>
                <w:szCs w:val="20"/>
                <w:lang w:val="en-GB"/>
              </w:rPr>
              <w:t>Funding in full</w:t>
            </w:r>
          </w:p>
          <w:p w14:paraId="3189D4D6" w14:textId="2224DA2A" w:rsidR="000272A3" w:rsidRPr="000272A3" w:rsidRDefault="00B5232C" w:rsidP="0088010B">
            <w:pPr>
              <w:rPr>
                <w:rFonts w:ascii="Roboto Regular" w:hAnsi="Roboto Regular" w:cs="Arial"/>
                <w:sz w:val="20"/>
                <w:szCs w:val="20"/>
                <w:lang w:val="en-GB"/>
              </w:rPr>
            </w:pPr>
            <w:r>
              <w:rPr>
                <w:rFonts w:ascii="Roboto Regular" w:eastAsia="MS Gothic" w:hAnsi="Roboto Regular" w:cs="Arial"/>
                <w:sz w:val="20"/>
                <w:szCs w:val="20"/>
              </w:rPr>
              <w:sym w:font="Wingdings" w:char="F06E"/>
            </w:r>
            <w:r w:rsidR="000272A3" w:rsidRPr="000272A3">
              <w:rPr>
                <w:rFonts w:ascii="Roboto Regular" w:eastAsia="MS Gothic" w:hAnsi="Roboto Regular" w:cs="Arial"/>
                <w:sz w:val="20"/>
                <w:szCs w:val="20"/>
              </w:rPr>
              <w:t xml:space="preserve"> </w:t>
            </w:r>
            <w:r w:rsidR="000272A3" w:rsidRPr="000272A3">
              <w:rPr>
                <w:rFonts w:ascii="Roboto Regular" w:eastAsia="MS Gothic" w:hAnsi="Roboto Regular" w:cs="Arial"/>
                <w:sz w:val="20"/>
                <w:szCs w:val="20"/>
                <w:lang w:val="en-GB"/>
              </w:rPr>
              <w:t>Partial funding possible</w:t>
            </w:r>
          </w:p>
        </w:tc>
        <w:tc>
          <w:tcPr>
            <w:tcW w:w="2769" w:type="dxa"/>
            <w:gridSpan w:val="4"/>
            <w:tcBorders>
              <w:top w:val="nil"/>
            </w:tcBorders>
            <w:shd w:val="clear" w:color="auto" w:fill="auto"/>
            <w:vAlign w:val="center"/>
          </w:tcPr>
          <w:p w14:paraId="0FB6F355" w14:textId="365287D2" w:rsidR="000272A3" w:rsidRPr="000272A3" w:rsidRDefault="00B5232C" w:rsidP="00CB52E2">
            <w:pPr>
              <w:rPr>
                <w:rFonts w:ascii="Roboto Regular" w:hAnsi="Roboto Regular" w:cs="Arial"/>
                <w:sz w:val="20"/>
                <w:szCs w:val="20"/>
                <w:lang w:val="en-GB"/>
              </w:rPr>
            </w:pPr>
            <w:r>
              <w:rPr>
                <w:rFonts w:ascii="Roboto Regular" w:eastAsia="MS Gothic" w:hAnsi="Roboto Regular" w:cs="Arial"/>
                <w:sz w:val="20"/>
                <w:szCs w:val="20"/>
              </w:rPr>
              <w:sym w:font="Wingdings" w:char="F06E"/>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 xml:space="preserve">Global </w:t>
            </w:r>
            <w:r w:rsidR="000272A3" w:rsidRPr="000272A3">
              <w:rPr>
                <w:rFonts w:ascii="Roboto Regular" w:hAnsi="Roboto Regular" w:cs="Arial"/>
                <w:i/>
                <w:sz w:val="20"/>
                <w:szCs w:val="20"/>
                <w:vertAlign w:val="superscript"/>
                <w:lang w:val="en-GB"/>
              </w:rPr>
              <w:t xml:space="preserve"> </w:t>
            </w:r>
            <w:r w:rsidR="000272A3" w:rsidRPr="000272A3">
              <w:rPr>
                <w:rFonts w:ascii="Roboto Regular" w:hAnsi="Roboto Regular" w:cs="Arial"/>
                <w:i/>
                <w:sz w:val="20"/>
                <w:szCs w:val="20"/>
                <w:lang w:val="en-GB"/>
              </w:rPr>
              <w:t xml:space="preserve">    </w:t>
            </w:r>
            <w:r w:rsidR="00CB52E2">
              <w:rPr>
                <w:rFonts w:ascii="Roboto Regular" w:eastAsia="MS Gothic" w:hAnsi="Roboto Regular" w:cs="Arial"/>
                <w:sz w:val="20"/>
                <w:szCs w:val="20"/>
              </w:rPr>
              <w:sym w:font="Wingdings" w:char="F06F"/>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 xml:space="preserve">Regional     </w:t>
            </w:r>
            <w:r w:rsidR="000272A3" w:rsidRPr="000272A3">
              <w:rPr>
                <w:rFonts w:ascii="Roboto Regular" w:eastAsia="MS Gothic" w:hAnsi="Roboto Regular" w:cs="Arial"/>
                <w:sz w:val="20"/>
                <w:szCs w:val="20"/>
              </w:rPr>
              <w:sym w:font="Wingdings" w:char="F06F"/>
            </w:r>
            <w:r w:rsidR="000272A3" w:rsidRPr="000272A3">
              <w:rPr>
                <w:rFonts w:ascii="Roboto Regular" w:eastAsia="MS Gothic" w:hAnsi="Roboto Regular" w:cs="Arial"/>
                <w:sz w:val="20"/>
                <w:szCs w:val="20"/>
              </w:rPr>
              <w:t xml:space="preserve"> </w:t>
            </w:r>
            <w:r w:rsidR="000272A3" w:rsidRPr="000272A3">
              <w:rPr>
                <w:rFonts w:ascii="Roboto Regular" w:hAnsi="Roboto Regular" w:cs="Arial"/>
                <w:sz w:val="20"/>
                <w:szCs w:val="20"/>
                <w:lang w:val="en-GB"/>
              </w:rPr>
              <w:t>National</w:t>
            </w:r>
          </w:p>
        </w:tc>
        <w:tc>
          <w:tcPr>
            <w:tcW w:w="3467" w:type="dxa"/>
            <w:tcBorders>
              <w:top w:val="nil"/>
            </w:tcBorders>
            <w:shd w:val="clear" w:color="auto" w:fill="auto"/>
            <w:vAlign w:val="center"/>
          </w:tcPr>
          <w:p w14:paraId="78A1B255" w14:textId="173160CD" w:rsidR="000272A3" w:rsidRPr="000272A3" w:rsidRDefault="00A20DFD" w:rsidP="0088010B">
            <w:pPr>
              <w:rPr>
                <w:rFonts w:ascii="Roboto Regular" w:hAnsi="Roboto Regular" w:cs="Arial"/>
                <w:sz w:val="20"/>
                <w:szCs w:val="20"/>
                <w:lang w:val="en-GB"/>
              </w:rPr>
            </w:pPr>
            <w:r>
              <w:rPr>
                <w:rFonts w:ascii="Roboto Regular" w:hAnsi="Roboto Regular" w:cs="Arial"/>
                <w:sz w:val="20"/>
                <w:szCs w:val="20"/>
                <w:lang w:val="en-GB"/>
              </w:rPr>
              <w:t>Global</w:t>
            </w:r>
          </w:p>
        </w:tc>
      </w:tr>
      <w:tr w:rsidR="000272A3" w:rsidRPr="000272A3" w14:paraId="0F9FCABE" w14:textId="77777777" w:rsidTr="0088010B">
        <w:trPr>
          <w:trHeight w:val="227"/>
        </w:trPr>
        <w:tc>
          <w:tcPr>
            <w:tcW w:w="9923" w:type="dxa"/>
            <w:gridSpan w:val="7"/>
            <w:tcBorders>
              <w:top w:val="single" w:sz="4" w:space="0" w:color="auto"/>
              <w:bottom w:val="nil"/>
            </w:tcBorders>
            <w:shd w:val="clear" w:color="auto" w:fill="C7E3D8"/>
            <w:vAlign w:val="center"/>
          </w:tcPr>
          <w:p w14:paraId="28A2FBBA"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shd w:val="clear" w:color="auto" w:fill="C7E3D8"/>
              </w:rPr>
              <w:t>MANDATE</w:t>
            </w:r>
          </w:p>
        </w:tc>
      </w:tr>
      <w:tr w:rsidR="000272A3" w:rsidRPr="000272A3" w14:paraId="725DBD5B" w14:textId="77777777" w:rsidTr="0088010B">
        <w:trPr>
          <w:trHeight w:val="454"/>
        </w:trPr>
        <w:tc>
          <w:tcPr>
            <w:tcW w:w="9923" w:type="dxa"/>
            <w:gridSpan w:val="7"/>
            <w:tcBorders>
              <w:top w:val="nil"/>
            </w:tcBorders>
            <w:vAlign w:val="center"/>
          </w:tcPr>
          <w:p w14:paraId="702C3D0A" w14:textId="77777777" w:rsidR="00237903" w:rsidRDefault="00CB52E2" w:rsidP="00237903">
            <w:pPr>
              <w:tabs>
                <w:tab w:val="left" w:pos="1157"/>
              </w:tabs>
              <w:suppressAutoHyphens/>
              <w:rPr>
                <w:rFonts w:ascii="Roboto Regular" w:hAnsi="Roboto Regular" w:cs="Arial"/>
                <w:b/>
                <w:sz w:val="20"/>
                <w:szCs w:val="20"/>
              </w:rPr>
            </w:pPr>
            <w:r w:rsidRPr="00CB52E2">
              <w:rPr>
                <w:rFonts w:ascii="Roboto Regular" w:hAnsi="Roboto Regular" w:cs="Arial"/>
                <w:b/>
                <w:sz w:val="20"/>
                <w:szCs w:val="20"/>
              </w:rPr>
              <w:t xml:space="preserve">Convention Article: </w:t>
            </w:r>
            <w:r w:rsidR="00237903" w:rsidRPr="00237903">
              <w:rPr>
                <w:rFonts w:ascii="Roboto Regular" w:hAnsi="Roboto Regular" w:cs="Arial"/>
                <w:sz w:val="20"/>
                <w:szCs w:val="20"/>
              </w:rPr>
              <w:t>Articles 16, 19 and 21 of the Rotterdam</w:t>
            </w:r>
            <w:r w:rsidR="00237903" w:rsidRPr="00237903">
              <w:rPr>
                <w:rFonts w:ascii="Roboto Regular" w:hAnsi="Roboto Regular" w:cs="Arial"/>
                <w:b/>
                <w:sz w:val="20"/>
                <w:szCs w:val="20"/>
              </w:rPr>
              <w:t xml:space="preserve"> Convention  </w:t>
            </w:r>
          </w:p>
          <w:p w14:paraId="0762BF9E" w14:textId="560DF2E6" w:rsidR="000272A3" w:rsidRPr="000272A3" w:rsidRDefault="00237903" w:rsidP="00237903">
            <w:pPr>
              <w:tabs>
                <w:tab w:val="left" w:pos="1157"/>
              </w:tabs>
              <w:suppressAutoHyphens/>
              <w:rPr>
                <w:rFonts w:ascii="Roboto Regular" w:hAnsi="Roboto Regular" w:cs="Arial"/>
                <w:noProof/>
                <w:sz w:val="20"/>
                <w:szCs w:val="20"/>
              </w:rPr>
            </w:pPr>
            <w:r w:rsidRPr="00237903">
              <w:rPr>
                <w:rFonts w:ascii="Roboto Regular" w:hAnsi="Roboto Regular" w:cs="Arial"/>
                <w:b/>
                <w:sz w:val="20"/>
                <w:szCs w:val="20"/>
              </w:rPr>
              <w:t xml:space="preserve">COP decision(s): </w:t>
            </w:r>
            <w:r w:rsidRPr="00237903">
              <w:rPr>
                <w:rFonts w:ascii="Roboto Regular" w:hAnsi="Roboto Regular" w:cs="Arial"/>
                <w:sz w:val="20"/>
                <w:szCs w:val="20"/>
              </w:rPr>
              <w:t>Decision RC-9/8 on technical assistance</w:t>
            </w:r>
          </w:p>
        </w:tc>
      </w:tr>
      <w:tr w:rsidR="000272A3" w:rsidRPr="000272A3" w14:paraId="6769467E" w14:textId="77777777" w:rsidTr="0088010B">
        <w:trPr>
          <w:trHeight w:val="227"/>
        </w:trPr>
        <w:tc>
          <w:tcPr>
            <w:tcW w:w="9923" w:type="dxa"/>
            <w:gridSpan w:val="7"/>
            <w:tcBorders>
              <w:bottom w:val="nil"/>
            </w:tcBorders>
            <w:shd w:val="clear" w:color="auto" w:fill="C7E3D8"/>
            <w:vAlign w:val="center"/>
          </w:tcPr>
          <w:p w14:paraId="113633AE"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shd w:val="clear" w:color="auto" w:fill="C7E3D8"/>
              </w:rPr>
              <w:t>Rationale</w:t>
            </w:r>
          </w:p>
        </w:tc>
      </w:tr>
      <w:tr w:rsidR="000272A3" w:rsidRPr="000272A3" w14:paraId="51C5C68F" w14:textId="77777777" w:rsidTr="0088010B">
        <w:trPr>
          <w:trHeight w:val="454"/>
        </w:trPr>
        <w:tc>
          <w:tcPr>
            <w:tcW w:w="9923" w:type="dxa"/>
            <w:gridSpan w:val="7"/>
            <w:tcBorders>
              <w:top w:val="nil"/>
              <w:bottom w:val="single" w:sz="4" w:space="0" w:color="auto"/>
            </w:tcBorders>
            <w:vAlign w:val="center"/>
          </w:tcPr>
          <w:p w14:paraId="51357AB6" w14:textId="77777777" w:rsidR="00237903" w:rsidRDefault="00237903" w:rsidP="00237903">
            <w:pPr>
              <w:rPr>
                <w:rFonts w:ascii="Roboto Regular" w:hAnsi="Roboto Regular" w:cs="Arial"/>
                <w:noProof/>
                <w:sz w:val="20"/>
                <w:szCs w:val="20"/>
              </w:rPr>
            </w:pPr>
            <w:r w:rsidRPr="00237903">
              <w:rPr>
                <w:rFonts w:ascii="Roboto Regular" w:hAnsi="Roboto Regular" w:cs="Arial"/>
                <w:noProof/>
                <w:sz w:val="20"/>
                <w:szCs w:val="20"/>
              </w:rPr>
              <w:t xml:space="preserve">In meetings and workshops convened over the last 14 years, Parties identified a broad range of needs or activities necessary for them to benefit fully from the Convention. In many cases these needs expressed by countries reflect a lack of capacity to establish a sound framework for chemicals management. Some of the specific issues identified include the lack of infrastructure to regulate or manage in particular industrial chemicals but pesticides as well; the need for assistance in managing information; the need for assistance in evaluating risks and taking regulatory decisions; the need to establish and strengthen the enforcement of integrated legal frameworks for chemicals management. Parties also need assistance in preparing and submitting notifications of final regulatory actions. Parties also express frequently technical assistance in order to develop an approach to and setting up pilot projects and a programme on monitoring and reporting severely hazardous pesticide formulations. Most of these needs could not be met effectively by simple workshops, meetings or pilot projects, but required more sustained forms of financial and technical assistance. A differentiated approach tailoring technical assistance to specific needs of developing countries, in particular least developed countries and Small Island Developing States, and countries with economies in transition will be followed taking into consideration, among other things, Parties’ capacities for the implementation of the conventions. In light of the operational experience and lessons learned from the implementation of the technical assistance programme adopted at COP-8 (PoW-15), technical assistance activities should:  </w:t>
            </w:r>
          </w:p>
          <w:p w14:paraId="37A33EAC" w14:textId="17378E84" w:rsidR="00237903" w:rsidRPr="00237903" w:rsidRDefault="00237903" w:rsidP="00352AAB">
            <w:pPr>
              <w:pStyle w:val="ListParagraph"/>
              <w:numPr>
                <w:ilvl w:val="0"/>
                <w:numId w:val="5"/>
              </w:numPr>
              <w:rPr>
                <w:rFonts w:ascii="Roboto Regular" w:hAnsi="Roboto Regular" w:cs="Arial"/>
                <w:noProof/>
                <w:sz w:val="20"/>
                <w:szCs w:val="20"/>
              </w:rPr>
            </w:pPr>
            <w:r w:rsidRPr="00237903">
              <w:rPr>
                <w:rFonts w:ascii="Roboto Regular" w:hAnsi="Roboto Regular" w:cs="Arial"/>
                <w:noProof/>
                <w:sz w:val="20"/>
                <w:szCs w:val="20"/>
              </w:rPr>
              <w:t xml:space="preserve">Be country-driven and be based on the needs identified by the recipient countries;  </w:t>
            </w:r>
          </w:p>
          <w:p w14:paraId="017CB4B3" w14:textId="1D98BBF7" w:rsidR="00237903" w:rsidRPr="00237903" w:rsidRDefault="00237903" w:rsidP="00352AAB">
            <w:pPr>
              <w:pStyle w:val="ListParagraph"/>
              <w:numPr>
                <w:ilvl w:val="0"/>
                <w:numId w:val="5"/>
              </w:numPr>
              <w:rPr>
                <w:rFonts w:ascii="Roboto Regular" w:hAnsi="Roboto Regular" w:cs="Arial"/>
                <w:noProof/>
                <w:sz w:val="20"/>
                <w:szCs w:val="20"/>
              </w:rPr>
            </w:pPr>
            <w:r w:rsidRPr="00237903">
              <w:rPr>
                <w:rFonts w:ascii="Roboto Regular" w:hAnsi="Roboto Regular" w:cs="Arial"/>
                <w:noProof/>
                <w:sz w:val="20"/>
                <w:szCs w:val="20"/>
              </w:rPr>
              <w:t xml:space="preserve">Promote national ownership and leadership, including the setting of priorities and design, implementation and evaluation of the initiatives;  </w:t>
            </w:r>
          </w:p>
          <w:p w14:paraId="2BFFD19D" w14:textId="36661A3B" w:rsidR="00237903" w:rsidRPr="00237903" w:rsidRDefault="00237903" w:rsidP="00352AAB">
            <w:pPr>
              <w:pStyle w:val="ListParagraph"/>
              <w:numPr>
                <w:ilvl w:val="0"/>
                <w:numId w:val="5"/>
              </w:numPr>
              <w:rPr>
                <w:rFonts w:ascii="Roboto Regular" w:hAnsi="Roboto Regular" w:cs="Arial"/>
                <w:noProof/>
                <w:sz w:val="20"/>
                <w:szCs w:val="20"/>
              </w:rPr>
            </w:pPr>
            <w:r w:rsidRPr="00237903">
              <w:rPr>
                <w:rFonts w:ascii="Roboto Regular" w:hAnsi="Roboto Regular" w:cs="Arial"/>
                <w:noProof/>
                <w:sz w:val="20"/>
                <w:szCs w:val="20"/>
              </w:rPr>
              <w:t xml:space="preserve">Apply a holistic approach, integrating convention-specific activities with relevant sectoral and national policies, strategies and programmes. </w:t>
            </w:r>
          </w:p>
          <w:p w14:paraId="10193467" w14:textId="77777777" w:rsidR="00237903" w:rsidRPr="00237903" w:rsidRDefault="00237903" w:rsidP="00237903">
            <w:pPr>
              <w:rPr>
                <w:rFonts w:ascii="Roboto Regular" w:hAnsi="Roboto Regular" w:cs="Arial"/>
                <w:noProof/>
                <w:sz w:val="20"/>
                <w:szCs w:val="20"/>
              </w:rPr>
            </w:pPr>
            <w:r w:rsidRPr="00237903">
              <w:rPr>
                <w:rFonts w:ascii="Roboto Regular" w:hAnsi="Roboto Regular" w:cs="Arial"/>
                <w:noProof/>
                <w:sz w:val="20"/>
                <w:szCs w:val="20"/>
              </w:rPr>
              <w:t xml:space="preserve"> </w:t>
            </w:r>
          </w:p>
          <w:p w14:paraId="3228C846" w14:textId="77777777" w:rsidR="00237903" w:rsidRDefault="00237903" w:rsidP="00237903">
            <w:pPr>
              <w:rPr>
                <w:rFonts w:ascii="Roboto Regular" w:hAnsi="Roboto Regular" w:cs="Arial"/>
                <w:noProof/>
                <w:sz w:val="20"/>
                <w:szCs w:val="20"/>
              </w:rPr>
            </w:pPr>
            <w:r w:rsidRPr="00237903">
              <w:rPr>
                <w:rFonts w:ascii="Roboto Regular" w:hAnsi="Roboto Regular" w:cs="Arial"/>
                <w:noProof/>
                <w:sz w:val="20"/>
                <w:szCs w:val="20"/>
              </w:rPr>
              <w:t xml:space="preserve">This activity will continue to meet Parties’ training and capacity-building needs under the Rotterdam Convention as shown in responses to the technical assistance needs assessment survey and upon individual Party requests. The Secretariat, as mandated by decision RC-7/7, received information from Parties through an online survey on the technical assistance needs of the developing countries and a survey on what the developed countries could offer to assist developing country Parties in implementing the convention. According to the survey conducted in 2016, the following priority areas emerged that assistance was required: </w:t>
            </w:r>
          </w:p>
          <w:p w14:paraId="48070236" w14:textId="3E91ED68" w:rsidR="00237903" w:rsidRPr="00B354FC" w:rsidRDefault="00237903" w:rsidP="00352AAB">
            <w:pPr>
              <w:pStyle w:val="ListParagraph"/>
              <w:numPr>
                <w:ilvl w:val="0"/>
                <w:numId w:val="6"/>
              </w:numPr>
              <w:rPr>
                <w:rFonts w:ascii="Roboto Regular" w:hAnsi="Roboto Regular" w:cs="Arial"/>
                <w:noProof/>
                <w:sz w:val="20"/>
                <w:szCs w:val="20"/>
              </w:rPr>
            </w:pPr>
            <w:r w:rsidRPr="00B354FC">
              <w:rPr>
                <w:rFonts w:ascii="Roboto Regular" w:hAnsi="Roboto Regular" w:cs="Arial"/>
                <w:noProof/>
                <w:sz w:val="20"/>
                <w:szCs w:val="20"/>
              </w:rPr>
              <w:t xml:space="preserve">Supporting customs officers in implementing the Convention; </w:t>
            </w:r>
          </w:p>
          <w:p w14:paraId="64E32D04" w14:textId="76BDD7D4" w:rsidR="00237903" w:rsidRPr="00B354FC" w:rsidRDefault="00237903" w:rsidP="00352AAB">
            <w:pPr>
              <w:pStyle w:val="ListParagraph"/>
              <w:numPr>
                <w:ilvl w:val="0"/>
                <w:numId w:val="6"/>
              </w:numPr>
              <w:rPr>
                <w:rFonts w:ascii="Roboto Regular" w:hAnsi="Roboto Regular" w:cs="Arial"/>
                <w:noProof/>
                <w:sz w:val="20"/>
                <w:szCs w:val="20"/>
              </w:rPr>
            </w:pPr>
            <w:r w:rsidRPr="00B354FC">
              <w:rPr>
                <w:rFonts w:ascii="Roboto Regular" w:hAnsi="Roboto Regular" w:cs="Arial"/>
                <w:noProof/>
                <w:sz w:val="20"/>
                <w:szCs w:val="20"/>
              </w:rPr>
              <w:t xml:space="preserve">Legal and institutional frameworks; </w:t>
            </w:r>
          </w:p>
          <w:p w14:paraId="5F619B14" w14:textId="147D9099" w:rsidR="00237903" w:rsidRPr="00B354FC" w:rsidRDefault="00237903" w:rsidP="00352AAB">
            <w:pPr>
              <w:pStyle w:val="ListParagraph"/>
              <w:numPr>
                <w:ilvl w:val="0"/>
                <w:numId w:val="6"/>
              </w:numPr>
              <w:rPr>
                <w:rFonts w:ascii="Roboto Regular" w:hAnsi="Roboto Regular" w:cs="Arial"/>
                <w:noProof/>
                <w:sz w:val="20"/>
                <w:szCs w:val="20"/>
              </w:rPr>
            </w:pPr>
            <w:r w:rsidRPr="00B354FC">
              <w:rPr>
                <w:rFonts w:ascii="Roboto Regular" w:hAnsi="Roboto Regular" w:cs="Arial"/>
                <w:noProof/>
                <w:sz w:val="20"/>
                <w:szCs w:val="20"/>
              </w:rPr>
              <w:t xml:space="preserve">National coordination (including National Action Plans updates); </w:t>
            </w:r>
          </w:p>
          <w:p w14:paraId="39267636" w14:textId="4642FBE0" w:rsidR="00B354FC" w:rsidRPr="00B354FC" w:rsidRDefault="00237903" w:rsidP="00352AAB">
            <w:pPr>
              <w:pStyle w:val="ListParagraph"/>
              <w:numPr>
                <w:ilvl w:val="0"/>
                <w:numId w:val="6"/>
              </w:numPr>
              <w:rPr>
                <w:rFonts w:ascii="Roboto Regular" w:hAnsi="Roboto Regular" w:cs="Arial"/>
                <w:noProof/>
                <w:sz w:val="20"/>
                <w:szCs w:val="20"/>
              </w:rPr>
            </w:pPr>
            <w:r w:rsidRPr="00B354FC">
              <w:rPr>
                <w:rFonts w:ascii="Roboto Regular" w:hAnsi="Roboto Regular" w:cs="Arial"/>
                <w:noProof/>
                <w:sz w:val="20"/>
                <w:szCs w:val="20"/>
              </w:rPr>
              <w:t xml:space="preserve">Monitoring and reporting pesticide poisoning incidents related to Severely Hazardous Pesticide Formulations (SHPF); </w:t>
            </w:r>
          </w:p>
          <w:p w14:paraId="44D27DD9" w14:textId="30FE3D41" w:rsidR="00B354FC" w:rsidRPr="00B354FC" w:rsidRDefault="00237903" w:rsidP="00352AAB">
            <w:pPr>
              <w:pStyle w:val="ListParagraph"/>
              <w:numPr>
                <w:ilvl w:val="0"/>
                <w:numId w:val="6"/>
              </w:numPr>
              <w:rPr>
                <w:rFonts w:ascii="Roboto Regular" w:hAnsi="Roboto Regular" w:cs="Arial"/>
                <w:noProof/>
                <w:sz w:val="20"/>
                <w:szCs w:val="20"/>
              </w:rPr>
            </w:pPr>
            <w:r w:rsidRPr="00B354FC">
              <w:rPr>
                <w:rFonts w:ascii="Roboto Regular" w:hAnsi="Roboto Regular" w:cs="Arial"/>
                <w:noProof/>
                <w:sz w:val="20"/>
                <w:szCs w:val="20"/>
              </w:rPr>
              <w:t xml:space="preserve">Regional cooperation among Designated National Authorities or Official Contact Points; </w:t>
            </w:r>
          </w:p>
          <w:p w14:paraId="02789F1B" w14:textId="720F5F91" w:rsidR="00B354FC" w:rsidRPr="00B354FC" w:rsidRDefault="00237903" w:rsidP="00352AAB">
            <w:pPr>
              <w:pStyle w:val="ListParagraph"/>
              <w:numPr>
                <w:ilvl w:val="0"/>
                <w:numId w:val="6"/>
              </w:numPr>
              <w:rPr>
                <w:rFonts w:ascii="Roboto Regular" w:hAnsi="Roboto Regular" w:cs="Arial"/>
                <w:noProof/>
                <w:sz w:val="20"/>
                <w:szCs w:val="20"/>
              </w:rPr>
            </w:pPr>
            <w:r w:rsidRPr="00B354FC">
              <w:rPr>
                <w:rFonts w:ascii="Roboto Regular" w:hAnsi="Roboto Regular" w:cs="Arial"/>
                <w:noProof/>
                <w:sz w:val="20"/>
                <w:szCs w:val="20"/>
              </w:rPr>
              <w:t xml:space="preserve">Following information exchange obligations (risk data, labelling, etc.); </w:t>
            </w:r>
          </w:p>
          <w:p w14:paraId="242C192A" w14:textId="57E357CB" w:rsidR="00B354FC" w:rsidRPr="00B354FC" w:rsidRDefault="00237903" w:rsidP="00352AAB">
            <w:pPr>
              <w:pStyle w:val="ListParagraph"/>
              <w:numPr>
                <w:ilvl w:val="0"/>
                <w:numId w:val="6"/>
              </w:numPr>
              <w:rPr>
                <w:rFonts w:ascii="Roboto Regular" w:hAnsi="Roboto Regular" w:cs="Arial"/>
                <w:noProof/>
                <w:sz w:val="20"/>
                <w:szCs w:val="20"/>
              </w:rPr>
            </w:pPr>
            <w:r w:rsidRPr="00B354FC">
              <w:rPr>
                <w:rFonts w:ascii="Roboto Regular" w:hAnsi="Roboto Regular" w:cs="Arial"/>
                <w:noProof/>
                <w:sz w:val="20"/>
                <w:szCs w:val="20"/>
              </w:rPr>
              <w:t xml:space="preserve">Decision-making and notifications for Final Regulatory Actions for non-Annex III chemicals; </w:t>
            </w:r>
          </w:p>
          <w:p w14:paraId="31FC0805" w14:textId="35DD1EA8" w:rsidR="00237903" w:rsidRPr="00B354FC" w:rsidRDefault="00237903" w:rsidP="00352AAB">
            <w:pPr>
              <w:pStyle w:val="ListParagraph"/>
              <w:numPr>
                <w:ilvl w:val="0"/>
                <w:numId w:val="6"/>
              </w:numPr>
              <w:rPr>
                <w:rFonts w:ascii="Roboto Regular" w:hAnsi="Roboto Regular" w:cs="Arial"/>
                <w:noProof/>
                <w:sz w:val="20"/>
                <w:szCs w:val="20"/>
              </w:rPr>
            </w:pPr>
            <w:r w:rsidRPr="00B354FC">
              <w:rPr>
                <w:rFonts w:ascii="Roboto Regular" w:hAnsi="Roboto Regular" w:cs="Arial"/>
                <w:noProof/>
                <w:sz w:val="20"/>
                <w:szCs w:val="20"/>
              </w:rPr>
              <w:t xml:space="preserve">Alternatives to Annex III chemicals. </w:t>
            </w:r>
          </w:p>
          <w:p w14:paraId="2CCC6EED" w14:textId="77777777" w:rsidR="00237903" w:rsidRPr="00237903" w:rsidRDefault="00237903" w:rsidP="00237903">
            <w:pPr>
              <w:rPr>
                <w:rFonts w:ascii="Roboto Regular" w:hAnsi="Roboto Regular" w:cs="Arial"/>
                <w:noProof/>
                <w:sz w:val="20"/>
                <w:szCs w:val="20"/>
              </w:rPr>
            </w:pPr>
            <w:r w:rsidRPr="00237903">
              <w:rPr>
                <w:rFonts w:ascii="Roboto Regular" w:hAnsi="Roboto Regular" w:cs="Arial"/>
                <w:noProof/>
                <w:sz w:val="20"/>
                <w:szCs w:val="20"/>
              </w:rPr>
              <w:t xml:space="preserve"> </w:t>
            </w:r>
          </w:p>
          <w:p w14:paraId="3F1191CA" w14:textId="77777777" w:rsidR="00B354FC" w:rsidRDefault="00237903" w:rsidP="00237903">
            <w:pPr>
              <w:rPr>
                <w:rFonts w:ascii="Roboto Regular" w:hAnsi="Roboto Regular" w:cs="Arial"/>
                <w:noProof/>
                <w:sz w:val="20"/>
                <w:szCs w:val="20"/>
              </w:rPr>
            </w:pPr>
            <w:r w:rsidRPr="00237903">
              <w:rPr>
                <w:rFonts w:ascii="Roboto Regular" w:hAnsi="Roboto Regular" w:cs="Arial"/>
                <w:noProof/>
                <w:sz w:val="20"/>
                <w:szCs w:val="20"/>
              </w:rPr>
              <w:t xml:space="preserve">The training activities will focus on enhancing Parties’ capacities, awareness-raising and understanding of general issues under the Convention  as well as on specific areas such as:  </w:t>
            </w:r>
          </w:p>
          <w:p w14:paraId="1E3A73B9" w14:textId="3E54A918" w:rsidR="00B354FC" w:rsidRPr="00B354FC" w:rsidRDefault="00237903" w:rsidP="00352AAB">
            <w:pPr>
              <w:pStyle w:val="ListParagraph"/>
              <w:numPr>
                <w:ilvl w:val="0"/>
                <w:numId w:val="7"/>
              </w:numPr>
              <w:rPr>
                <w:rFonts w:ascii="Roboto Regular" w:hAnsi="Roboto Regular" w:cs="Arial"/>
                <w:noProof/>
                <w:sz w:val="20"/>
                <w:szCs w:val="20"/>
              </w:rPr>
            </w:pPr>
            <w:r w:rsidRPr="00B354FC">
              <w:rPr>
                <w:rFonts w:ascii="Roboto Regular" w:hAnsi="Roboto Regular" w:cs="Arial"/>
                <w:noProof/>
                <w:sz w:val="20"/>
                <w:szCs w:val="20"/>
              </w:rPr>
              <w:t xml:space="preserve">General implementation of the Convention and follow-up activities; Strengthening national coordination mechanisms for the implementation of the Rotterdam convention so that Parties can make Import responses for industrial chemicals and pesticides; </w:t>
            </w:r>
          </w:p>
          <w:p w14:paraId="5E243041" w14:textId="684DE934" w:rsidR="00B354FC" w:rsidRPr="00B354FC" w:rsidRDefault="00237903" w:rsidP="00352AAB">
            <w:pPr>
              <w:pStyle w:val="ListParagraph"/>
              <w:numPr>
                <w:ilvl w:val="0"/>
                <w:numId w:val="7"/>
              </w:numPr>
              <w:rPr>
                <w:rFonts w:ascii="Roboto Regular" w:hAnsi="Roboto Regular" w:cs="Arial"/>
                <w:noProof/>
                <w:sz w:val="20"/>
                <w:szCs w:val="20"/>
              </w:rPr>
            </w:pPr>
            <w:r w:rsidRPr="00B354FC">
              <w:rPr>
                <w:rFonts w:ascii="Roboto Regular" w:hAnsi="Roboto Regular" w:cs="Arial"/>
                <w:noProof/>
                <w:sz w:val="20"/>
                <w:szCs w:val="20"/>
              </w:rPr>
              <w:t xml:space="preserve">Facilitate the strengthening of the capacities of parties to control their Ports of Entry (Customs);  </w:t>
            </w:r>
          </w:p>
          <w:p w14:paraId="47415503" w14:textId="06C6ED99" w:rsidR="00B354FC" w:rsidRPr="00B354FC" w:rsidRDefault="00237903" w:rsidP="00352AAB">
            <w:pPr>
              <w:pStyle w:val="ListParagraph"/>
              <w:numPr>
                <w:ilvl w:val="0"/>
                <w:numId w:val="7"/>
              </w:numPr>
              <w:rPr>
                <w:rFonts w:ascii="Roboto Regular" w:hAnsi="Roboto Regular" w:cs="Arial"/>
                <w:noProof/>
                <w:sz w:val="20"/>
                <w:szCs w:val="20"/>
              </w:rPr>
            </w:pPr>
            <w:r w:rsidRPr="00B354FC">
              <w:rPr>
                <w:rFonts w:ascii="Roboto Regular" w:hAnsi="Roboto Regular" w:cs="Arial"/>
                <w:noProof/>
                <w:sz w:val="20"/>
                <w:szCs w:val="20"/>
              </w:rPr>
              <w:t xml:space="preserve">Support the domestication of the Convention requirements and obligations into the national regulatory frameworks; </w:t>
            </w:r>
          </w:p>
          <w:p w14:paraId="12C34D1B" w14:textId="34ECE70C" w:rsidR="00B354FC" w:rsidRPr="00B354FC" w:rsidRDefault="00237903" w:rsidP="00352AAB">
            <w:pPr>
              <w:pStyle w:val="ListParagraph"/>
              <w:numPr>
                <w:ilvl w:val="0"/>
                <w:numId w:val="7"/>
              </w:numPr>
              <w:rPr>
                <w:rFonts w:ascii="Roboto Regular" w:hAnsi="Roboto Regular" w:cs="Arial"/>
                <w:noProof/>
                <w:sz w:val="20"/>
                <w:szCs w:val="20"/>
              </w:rPr>
            </w:pPr>
            <w:r w:rsidRPr="00B354FC">
              <w:rPr>
                <w:rFonts w:ascii="Roboto Regular" w:hAnsi="Roboto Regular" w:cs="Arial"/>
                <w:noProof/>
                <w:sz w:val="20"/>
                <w:szCs w:val="20"/>
              </w:rPr>
              <w:t xml:space="preserve">Strengthening national capacities related to hazard and risk evaluation of priority chemicals (pesticides and industrial) leading to decision-making whether to ban or severely restrict them; </w:t>
            </w:r>
          </w:p>
          <w:p w14:paraId="18F5F6F6" w14:textId="6E380DB1" w:rsidR="00B354FC" w:rsidRPr="00B354FC" w:rsidRDefault="00237903" w:rsidP="00352AAB">
            <w:pPr>
              <w:pStyle w:val="ListParagraph"/>
              <w:numPr>
                <w:ilvl w:val="0"/>
                <w:numId w:val="7"/>
              </w:numPr>
              <w:rPr>
                <w:rFonts w:ascii="Roboto Regular" w:hAnsi="Roboto Regular" w:cs="Arial"/>
                <w:noProof/>
                <w:sz w:val="20"/>
                <w:szCs w:val="20"/>
              </w:rPr>
            </w:pPr>
            <w:r w:rsidRPr="00B354FC">
              <w:rPr>
                <w:rFonts w:ascii="Roboto Regular" w:hAnsi="Roboto Regular" w:cs="Arial"/>
                <w:noProof/>
                <w:sz w:val="20"/>
                <w:szCs w:val="20"/>
              </w:rPr>
              <w:lastRenderedPageBreak/>
              <w:t xml:space="preserve">Strengthening national capacities related to severely hazardous pesticide formulations (SHPF); </w:t>
            </w:r>
          </w:p>
          <w:p w14:paraId="36B65433" w14:textId="5706481A" w:rsidR="00B354FC" w:rsidRPr="00B354FC" w:rsidRDefault="00237903" w:rsidP="00352AAB">
            <w:pPr>
              <w:pStyle w:val="ListParagraph"/>
              <w:numPr>
                <w:ilvl w:val="0"/>
                <w:numId w:val="7"/>
              </w:numPr>
              <w:rPr>
                <w:rFonts w:ascii="Roboto Regular" w:hAnsi="Roboto Regular" w:cs="Arial"/>
                <w:noProof/>
                <w:sz w:val="20"/>
                <w:szCs w:val="20"/>
              </w:rPr>
            </w:pPr>
            <w:r w:rsidRPr="00B354FC">
              <w:rPr>
                <w:rFonts w:ascii="Roboto Regular" w:hAnsi="Roboto Regular" w:cs="Arial"/>
                <w:noProof/>
                <w:sz w:val="20"/>
                <w:szCs w:val="20"/>
              </w:rPr>
              <w:t xml:space="preserve">Assistance in identifying suitable and economically feasible alternatives to certain chemicals and pesticides that are considered under the Rotterdam Convention; </w:t>
            </w:r>
          </w:p>
          <w:p w14:paraId="39C83C09" w14:textId="11AB9A41" w:rsidR="00237903" w:rsidRPr="00B354FC" w:rsidRDefault="00237903" w:rsidP="00352AAB">
            <w:pPr>
              <w:pStyle w:val="ListParagraph"/>
              <w:numPr>
                <w:ilvl w:val="0"/>
                <w:numId w:val="7"/>
              </w:numPr>
              <w:rPr>
                <w:rFonts w:ascii="Roboto Regular" w:hAnsi="Roboto Regular" w:cs="Arial"/>
                <w:noProof/>
                <w:sz w:val="20"/>
                <w:szCs w:val="20"/>
              </w:rPr>
            </w:pPr>
            <w:r w:rsidRPr="00B354FC">
              <w:rPr>
                <w:rFonts w:ascii="Roboto Regular" w:hAnsi="Roboto Regular" w:cs="Arial"/>
                <w:noProof/>
                <w:sz w:val="20"/>
                <w:szCs w:val="20"/>
              </w:rPr>
              <w:t xml:space="preserve">Strengthening national capacities related to the management of newly listed chemicals. </w:t>
            </w:r>
          </w:p>
          <w:p w14:paraId="51B3F91D" w14:textId="77777777" w:rsidR="00237903" w:rsidRPr="00237903" w:rsidRDefault="00237903" w:rsidP="00237903">
            <w:pPr>
              <w:rPr>
                <w:rFonts w:ascii="Roboto Regular" w:hAnsi="Roboto Regular" w:cs="Arial"/>
                <w:noProof/>
                <w:sz w:val="20"/>
                <w:szCs w:val="20"/>
              </w:rPr>
            </w:pPr>
            <w:r w:rsidRPr="00237903">
              <w:rPr>
                <w:rFonts w:ascii="Roboto Regular" w:hAnsi="Roboto Regular" w:cs="Arial"/>
                <w:noProof/>
                <w:sz w:val="20"/>
                <w:szCs w:val="20"/>
              </w:rPr>
              <w:t xml:space="preserve"> </w:t>
            </w:r>
          </w:p>
          <w:p w14:paraId="4CC23706" w14:textId="14FC2CF1" w:rsidR="00CB52E2" w:rsidRPr="00451FA8" w:rsidRDefault="00237903" w:rsidP="00237903">
            <w:pPr>
              <w:rPr>
                <w:rFonts w:ascii="Roboto Regular" w:hAnsi="Roboto Regular" w:cs="Arial"/>
                <w:noProof/>
                <w:sz w:val="20"/>
                <w:szCs w:val="20"/>
              </w:rPr>
            </w:pPr>
            <w:r w:rsidRPr="00237903">
              <w:rPr>
                <w:rFonts w:ascii="Roboto Regular" w:hAnsi="Roboto Regular" w:cs="Arial"/>
                <w:noProof/>
                <w:sz w:val="20"/>
                <w:szCs w:val="20"/>
              </w:rPr>
              <w:t>The objective of the delivery of technical assistance is to strengthen Parties’ capacities in promoting shared responsibility and cooperative efforts among Parties in the international trade of certain hazardous chemicals and pesticides in order to protect human health and the environment from potential harm and to contribute to their</w:t>
            </w:r>
            <w:r w:rsidR="00B354FC">
              <w:rPr>
                <w:rFonts w:ascii="Roboto Regular" w:hAnsi="Roboto Regular" w:cs="Arial"/>
                <w:noProof/>
                <w:sz w:val="20"/>
                <w:szCs w:val="20"/>
              </w:rPr>
              <w:t xml:space="preserve"> </w:t>
            </w:r>
            <w:r w:rsidR="00B354FC" w:rsidRPr="00B354FC">
              <w:rPr>
                <w:rFonts w:ascii="Roboto Regular" w:hAnsi="Roboto Regular" w:cs="Arial"/>
                <w:noProof/>
                <w:sz w:val="20"/>
                <w:szCs w:val="20"/>
              </w:rPr>
              <w:t>environmentally sound use, by facilitating information exchange about their characteristics, by providing for a national decision-making process on their import and export and by disseminating these decisions to Parties.</w:t>
            </w:r>
          </w:p>
        </w:tc>
      </w:tr>
      <w:tr w:rsidR="000272A3" w:rsidRPr="000272A3" w14:paraId="7D3DC7F5" w14:textId="77777777" w:rsidTr="0088010B">
        <w:trPr>
          <w:trHeight w:val="227"/>
        </w:trPr>
        <w:tc>
          <w:tcPr>
            <w:tcW w:w="9923" w:type="dxa"/>
            <w:gridSpan w:val="7"/>
            <w:tcBorders>
              <w:bottom w:val="nil"/>
            </w:tcBorders>
            <w:shd w:val="clear" w:color="auto" w:fill="C7E3D8"/>
            <w:vAlign w:val="center"/>
          </w:tcPr>
          <w:p w14:paraId="2B5F2C93"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rPr>
              <w:lastRenderedPageBreak/>
              <w:t>Outcomes and indicators of achievement</w:t>
            </w:r>
          </w:p>
        </w:tc>
      </w:tr>
      <w:tr w:rsidR="000272A3" w:rsidRPr="000272A3" w14:paraId="36B1C3F8" w14:textId="77777777" w:rsidTr="0088010B">
        <w:trPr>
          <w:trHeight w:val="720"/>
        </w:trPr>
        <w:tc>
          <w:tcPr>
            <w:tcW w:w="9923" w:type="dxa"/>
            <w:gridSpan w:val="7"/>
            <w:tcBorders>
              <w:top w:val="nil"/>
              <w:bottom w:val="single" w:sz="4" w:space="0" w:color="auto"/>
            </w:tcBorders>
            <w:vAlign w:val="center"/>
          </w:tcPr>
          <w:p w14:paraId="2CAC97AE" w14:textId="77777777" w:rsidR="00B354FC" w:rsidRDefault="00B354FC" w:rsidP="00B354FC">
            <w:pPr>
              <w:rPr>
                <w:rFonts w:ascii="Roboto Regular" w:hAnsi="Roboto Regular" w:cs="Arial"/>
                <w:sz w:val="20"/>
                <w:szCs w:val="20"/>
                <w:lang w:val="en-GB"/>
              </w:rPr>
            </w:pPr>
            <w:r w:rsidRPr="00C17D91">
              <w:rPr>
                <w:rFonts w:ascii="Roboto Regular" w:hAnsi="Roboto Regular" w:cs="Arial"/>
                <w:b/>
                <w:sz w:val="20"/>
                <w:szCs w:val="20"/>
                <w:lang w:val="en-GB"/>
              </w:rPr>
              <w:t>Component 15.1:</w:t>
            </w:r>
            <w:r w:rsidRPr="00B354FC">
              <w:rPr>
                <w:rFonts w:ascii="Roboto Regular" w:hAnsi="Roboto Regular" w:cs="Arial"/>
                <w:sz w:val="20"/>
                <w:szCs w:val="20"/>
                <w:lang w:val="en-GB"/>
              </w:rPr>
              <w:t xml:space="preserve"> </w:t>
            </w:r>
            <w:r w:rsidRPr="00C17D91">
              <w:rPr>
                <w:rFonts w:ascii="Roboto Regular" w:hAnsi="Roboto Regular" w:cs="Arial"/>
                <w:b/>
                <w:sz w:val="20"/>
                <w:szCs w:val="20"/>
                <w:lang w:val="en-GB"/>
              </w:rPr>
              <w:t>Strengthening of chemicals management</w:t>
            </w:r>
            <w:r w:rsidRPr="00B354FC">
              <w:rPr>
                <w:rFonts w:ascii="Roboto Regular" w:hAnsi="Roboto Regular" w:cs="Arial"/>
                <w:sz w:val="20"/>
                <w:szCs w:val="20"/>
                <w:lang w:val="en-GB"/>
              </w:rPr>
              <w:t xml:space="preserve"> </w:t>
            </w:r>
          </w:p>
          <w:p w14:paraId="2C46C753" w14:textId="77777777" w:rsidR="00B354FC" w:rsidRDefault="00B354FC" w:rsidP="00B354FC">
            <w:pPr>
              <w:rPr>
                <w:rFonts w:ascii="Roboto Regular" w:hAnsi="Roboto Regular" w:cs="Arial"/>
                <w:sz w:val="20"/>
                <w:szCs w:val="20"/>
                <w:lang w:val="en-GB"/>
              </w:rPr>
            </w:pPr>
            <w:r w:rsidRPr="00C17D91">
              <w:rPr>
                <w:rFonts w:ascii="Roboto Regular" w:hAnsi="Roboto Regular" w:cs="Arial"/>
                <w:b/>
                <w:sz w:val="20"/>
                <w:szCs w:val="20"/>
                <w:lang w:val="en-GB"/>
              </w:rPr>
              <w:t>Outcomes</w:t>
            </w:r>
            <w:r w:rsidRPr="00B354FC">
              <w:rPr>
                <w:rFonts w:ascii="Roboto Regular" w:hAnsi="Roboto Regular" w:cs="Arial"/>
                <w:sz w:val="20"/>
                <w:szCs w:val="20"/>
                <w:lang w:val="en-GB"/>
              </w:rPr>
              <w:t xml:space="preserve"> Strengthening for risk evaluation of industrial chemicals, pesticides and severely </w:t>
            </w:r>
            <w:proofErr w:type="spellStart"/>
            <w:r w:rsidRPr="00B354FC">
              <w:rPr>
                <w:rFonts w:ascii="Roboto Regular" w:hAnsi="Roboto Regular" w:cs="Arial"/>
                <w:sz w:val="20"/>
                <w:szCs w:val="20"/>
                <w:lang w:val="en-GB"/>
              </w:rPr>
              <w:t>severely</w:t>
            </w:r>
            <w:proofErr w:type="spellEnd"/>
            <w:r w:rsidRPr="00B354FC">
              <w:rPr>
                <w:rFonts w:ascii="Roboto Regular" w:hAnsi="Roboto Regular" w:cs="Arial"/>
                <w:sz w:val="20"/>
                <w:szCs w:val="20"/>
                <w:lang w:val="en-GB"/>
              </w:rPr>
              <w:t xml:space="preserve"> hazardous pesticide formulations. </w:t>
            </w:r>
          </w:p>
          <w:p w14:paraId="48E28FC1" w14:textId="724E1495" w:rsidR="00084C49" w:rsidRPr="00B354FC" w:rsidRDefault="00B354FC" w:rsidP="00C17D91">
            <w:pPr>
              <w:rPr>
                <w:rFonts w:ascii="Roboto Regular" w:hAnsi="Roboto Regular" w:cs="Arial"/>
                <w:sz w:val="20"/>
                <w:szCs w:val="20"/>
                <w:lang w:val="en-GB"/>
              </w:rPr>
            </w:pPr>
            <w:r w:rsidRPr="00C17D91">
              <w:rPr>
                <w:rFonts w:ascii="Roboto Regular" w:hAnsi="Roboto Regular" w:cs="Arial"/>
                <w:b/>
                <w:sz w:val="20"/>
                <w:szCs w:val="20"/>
                <w:lang w:val="en-GB"/>
              </w:rPr>
              <w:t>Activities:</w:t>
            </w:r>
            <w:r>
              <w:rPr>
                <w:rFonts w:ascii="Roboto Regular" w:hAnsi="Roboto Regular" w:cs="Arial"/>
                <w:sz w:val="20"/>
                <w:szCs w:val="20"/>
                <w:lang w:val="en-GB"/>
              </w:rPr>
              <w:t xml:space="preserve"> </w:t>
            </w:r>
            <w:r w:rsidRPr="00B354FC">
              <w:rPr>
                <w:rFonts w:ascii="Roboto Regular" w:hAnsi="Roboto Regular" w:cs="Arial"/>
                <w:sz w:val="20"/>
                <w:szCs w:val="20"/>
                <w:lang w:val="en-GB"/>
              </w:rPr>
              <w:t>Facilitate the strengthening of chemicals management under the Rotterdam Convention, drafting of implementation strategies.</w:t>
            </w:r>
          </w:p>
        </w:tc>
      </w:tr>
      <w:tr w:rsidR="000272A3" w:rsidRPr="000272A3" w14:paraId="7D68EDB3" w14:textId="77777777" w:rsidTr="0088010B">
        <w:trPr>
          <w:trHeight w:val="420"/>
        </w:trPr>
        <w:tc>
          <w:tcPr>
            <w:tcW w:w="4400" w:type="dxa"/>
            <w:gridSpan w:val="3"/>
            <w:tcBorders>
              <w:top w:val="single" w:sz="4" w:space="0" w:color="auto"/>
              <w:bottom w:val="single" w:sz="4" w:space="0" w:color="000000" w:themeColor="text1"/>
              <w:right w:val="single" w:sz="4" w:space="0" w:color="auto"/>
            </w:tcBorders>
            <w:vAlign w:val="center"/>
          </w:tcPr>
          <w:p w14:paraId="5CB7C74D" w14:textId="77777777" w:rsidR="000272A3" w:rsidRPr="000272A3" w:rsidRDefault="000272A3" w:rsidP="0088010B">
            <w:pPr>
              <w:rPr>
                <w:rFonts w:ascii="Roboto Regular" w:hAnsi="Roboto Regular" w:cs="Arial"/>
                <w:b/>
                <w:sz w:val="20"/>
                <w:szCs w:val="20"/>
              </w:rPr>
            </w:pPr>
            <w:r w:rsidRPr="000272A3">
              <w:rPr>
                <w:rFonts w:ascii="Roboto Regular" w:hAnsi="Roboto Regular" w:cs="Arial"/>
                <w:b/>
                <w:sz w:val="20"/>
                <w:szCs w:val="20"/>
              </w:rPr>
              <w:t>Indicators of achievement:</w:t>
            </w:r>
          </w:p>
          <w:p w14:paraId="0FB22526" w14:textId="76517F08" w:rsidR="00084C49" w:rsidRPr="00084C49" w:rsidRDefault="00C17D91" w:rsidP="00352AAB">
            <w:pPr>
              <w:pStyle w:val="ListParagraph"/>
              <w:numPr>
                <w:ilvl w:val="0"/>
                <w:numId w:val="2"/>
              </w:numPr>
              <w:rPr>
                <w:rFonts w:ascii="Roboto Regular" w:eastAsia="Calibri" w:hAnsi="Roboto Regular" w:cs="Arial"/>
                <w:sz w:val="20"/>
                <w:szCs w:val="20"/>
                <w:lang w:eastAsia="en-GB"/>
              </w:rPr>
            </w:pPr>
            <w:r w:rsidRPr="00C17D91">
              <w:rPr>
                <w:rFonts w:ascii="Roboto Regular" w:eastAsia="Calibri" w:hAnsi="Roboto Regular" w:cs="Arial"/>
                <w:sz w:val="20"/>
                <w:szCs w:val="20"/>
                <w:lang w:eastAsia="en-GB"/>
              </w:rPr>
              <w:t>Number of wo</w:t>
            </w:r>
            <w:r>
              <w:rPr>
                <w:rFonts w:ascii="Roboto Regular" w:eastAsia="Calibri" w:hAnsi="Roboto Regular" w:cs="Arial"/>
                <w:sz w:val="20"/>
                <w:szCs w:val="20"/>
                <w:lang w:eastAsia="en-GB"/>
              </w:rPr>
              <w:t>rkshops convened;</w:t>
            </w:r>
          </w:p>
        </w:tc>
        <w:tc>
          <w:tcPr>
            <w:tcW w:w="5523" w:type="dxa"/>
            <w:gridSpan w:val="4"/>
            <w:tcBorders>
              <w:top w:val="single" w:sz="4" w:space="0" w:color="auto"/>
              <w:left w:val="single" w:sz="4" w:space="0" w:color="auto"/>
              <w:bottom w:val="single" w:sz="4" w:space="0" w:color="000000" w:themeColor="text1"/>
            </w:tcBorders>
            <w:vAlign w:val="center"/>
          </w:tcPr>
          <w:p w14:paraId="4047CA24" w14:textId="77777777" w:rsidR="000272A3" w:rsidRPr="000272A3" w:rsidRDefault="000272A3" w:rsidP="0088010B">
            <w:pPr>
              <w:rPr>
                <w:rFonts w:ascii="Roboto Regular" w:eastAsia="Calibri" w:hAnsi="Roboto Regular" w:cs="Arial"/>
                <w:b/>
                <w:sz w:val="20"/>
                <w:szCs w:val="20"/>
                <w:lang w:eastAsia="en-GB"/>
              </w:rPr>
            </w:pPr>
            <w:r w:rsidRPr="000272A3">
              <w:rPr>
                <w:rFonts w:ascii="Roboto Regular" w:eastAsia="Calibri" w:hAnsi="Roboto Regular" w:cs="Arial"/>
                <w:b/>
                <w:sz w:val="20"/>
                <w:szCs w:val="20"/>
                <w:lang w:eastAsia="en-GB"/>
              </w:rPr>
              <w:t>Means of verification:</w:t>
            </w:r>
          </w:p>
          <w:p w14:paraId="1E09EA29" w14:textId="042E037E" w:rsidR="00084C49" w:rsidRPr="00084C49" w:rsidRDefault="00C17D91" w:rsidP="00352AAB">
            <w:pPr>
              <w:pStyle w:val="ListParagraph"/>
              <w:numPr>
                <w:ilvl w:val="0"/>
                <w:numId w:val="3"/>
              </w:numPr>
              <w:rPr>
                <w:rFonts w:ascii="Roboto Regular" w:eastAsia="Calibri" w:hAnsi="Roboto Regular" w:cs="Arial"/>
                <w:sz w:val="20"/>
                <w:szCs w:val="20"/>
                <w:lang w:eastAsia="en-GB"/>
              </w:rPr>
            </w:pPr>
            <w:r>
              <w:rPr>
                <w:rFonts w:ascii="Roboto Regular" w:eastAsia="Calibri" w:hAnsi="Roboto Regular" w:cs="Arial"/>
                <w:sz w:val="20"/>
                <w:szCs w:val="20"/>
                <w:lang w:eastAsia="en-GB"/>
              </w:rPr>
              <w:t>Workshop reports</w:t>
            </w:r>
            <w:r w:rsidRPr="00C17D91">
              <w:rPr>
                <w:rFonts w:ascii="Roboto Regular" w:eastAsia="Calibri" w:hAnsi="Roboto Regular" w:cs="Arial"/>
                <w:sz w:val="20"/>
                <w:szCs w:val="20"/>
                <w:lang w:eastAsia="en-GB"/>
              </w:rPr>
              <w:t xml:space="preserve">; </w:t>
            </w:r>
            <w:r w:rsidR="00084C49" w:rsidRPr="00084C49">
              <w:rPr>
                <w:rFonts w:ascii="Roboto Regular" w:eastAsia="Calibri" w:hAnsi="Roboto Regular" w:cs="Arial"/>
                <w:sz w:val="20"/>
                <w:szCs w:val="20"/>
                <w:lang w:eastAsia="en-GB"/>
              </w:rPr>
              <w:t xml:space="preserve"> </w:t>
            </w:r>
          </w:p>
        </w:tc>
      </w:tr>
      <w:tr w:rsidR="00E7296F" w:rsidRPr="000272A3" w14:paraId="187DD78E" w14:textId="77777777" w:rsidTr="00E7296F">
        <w:trPr>
          <w:trHeight w:val="227"/>
        </w:trPr>
        <w:tc>
          <w:tcPr>
            <w:tcW w:w="9923" w:type="dxa"/>
            <w:gridSpan w:val="7"/>
            <w:tcBorders>
              <w:bottom w:val="nil"/>
            </w:tcBorders>
            <w:shd w:val="clear" w:color="auto" w:fill="auto"/>
            <w:vAlign w:val="center"/>
          </w:tcPr>
          <w:p w14:paraId="135C6F52" w14:textId="77777777" w:rsidR="00C17D91" w:rsidRDefault="00C17D91" w:rsidP="00C17D91">
            <w:pPr>
              <w:rPr>
                <w:rFonts w:ascii="Roboto Regular" w:hAnsi="Roboto Regular" w:cs="Arial"/>
                <w:sz w:val="20"/>
                <w:szCs w:val="20"/>
              </w:rPr>
            </w:pPr>
            <w:r w:rsidRPr="00C17D91">
              <w:rPr>
                <w:rFonts w:ascii="Roboto Regular" w:hAnsi="Roboto Regular" w:cs="Arial"/>
                <w:b/>
                <w:sz w:val="20"/>
                <w:szCs w:val="20"/>
              </w:rPr>
              <w:t>Component 15.2: Notification of Final Regulatory Actions</w:t>
            </w:r>
            <w:r w:rsidRPr="00C17D91">
              <w:rPr>
                <w:rFonts w:ascii="Roboto Regular" w:hAnsi="Roboto Regular" w:cs="Arial"/>
                <w:sz w:val="20"/>
                <w:szCs w:val="20"/>
              </w:rPr>
              <w:t xml:space="preserve">  </w:t>
            </w:r>
          </w:p>
          <w:p w14:paraId="5FA51475" w14:textId="77777777" w:rsidR="00C17D91" w:rsidRDefault="00C17D91" w:rsidP="00C17D91">
            <w:pPr>
              <w:rPr>
                <w:rFonts w:ascii="Roboto Regular" w:hAnsi="Roboto Regular" w:cs="Arial"/>
                <w:sz w:val="20"/>
                <w:szCs w:val="20"/>
              </w:rPr>
            </w:pPr>
            <w:r w:rsidRPr="00C17D91">
              <w:rPr>
                <w:rFonts w:ascii="Roboto Regular" w:hAnsi="Roboto Regular" w:cs="Arial"/>
                <w:b/>
                <w:sz w:val="20"/>
                <w:szCs w:val="20"/>
              </w:rPr>
              <w:t>Outcomes:</w:t>
            </w:r>
            <w:r w:rsidRPr="00C17D91">
              <w:rPr>
                <w:rFonts w:ascii="Roboto Regular" w:hAnsi="Roboto Regular" w:cs="Arial"/>
                <w:sz w:val="20"/>
                <w:szCs w:val="20"/>
              </w:rPr>
              <w:t xml:space="preserve"> Strengthened capacity for the development, review and update of legal and institutional frameworks and capacity strengthening for risk evaluation of industrial chemicals, pesticides and severely </w:t>
            </w:r>
            <w:proofErr w:type="spellStart"/>
            <w:r w:rsidRPr="00C17D91">
              <w:rPr>
                <w:rFonts w:ascii="Roboto Regular" w:hAnsi="Roboto Regular" w:cs="Arial"/>
                <w:sz w:val="20"/>
                <w:szCs w:val="20"/>
              </w:rPr>
              <w:t>severely</w:t>
            </w:r>
            <w:proofErr w:type="spellEnd"/>
            <w:r w:rsidRPr="00C17D91">
              <w:rPr>
                <w:rFonts w:ascii="Roboto Regular" w:hAnsi="Roboto Regular" w:cs="Arial"/>
                <w:sz w:val="20"/>
                <w:szCs w:val="20"/>
              </w:rPr>
              <w:t xml:space="preserve"> hazardous pesticide formulations; enhanced effectiveness of the Rotterdam Convention, with a focus on Final Regulatory Actions (FRAs): Articles 5 (procedures for banned or severely restricted chemicals) and 6 (procedures for severely hazardous pesticide formulations) of the Rotterdam Convention. When possible, strengthened capacity of States to become Parties to the Rotterdam Convention.  Contribution to enhancing the effectiveness of the Rotterdam Convention. </w:t>
            </w:r>
          </w:p>
          <w:p w14:paraId="194A537C" w14:textId="77777777" w:rsidR="00C17D91" w:rsidRDefault="00C17D91" w:rsidP="00C17D91">
            <w:pPr>
              <w:rPr>
                <w:rFonts w:ascii="Roboto Regular" w:hAnsi="Roboto Regular" w:cs="Arial"/>
                <w:sz w:val="20"/>
                <w:szCs w:val="20"/>
              </w:rPr>
            </w:pPr>
          </w:p>
          <w:p w14:paraId="3ECB5BD1" w14:textId="77777777" w:rsidR="00C17D91" w:rsidRDefault="00C17D91" w:rsidP="00C17D91">
            <w:pPr>
              <w:rPr>
                <w:rFonts w:ascii="Roboto Regular" w:hAnsi="Roboto Regular" w:cs="Arial"/>
                <w:b/>
                <w:sz w:val="20"/>
                <w:szCs w:val="20"/>
              </w:rPr>
            </w:pPr>
            <w:r>
              <w:rPr>
                <w:rFonts w:ascii="Roboto Regular" w:hAnsi="Roboto Regular" w:cs="Arial"/>
                <w:b/>
                <w:sz w:val="20"/>
                <w:szCs w:val="20"/>
              </w:rPr>
              <w:t xml:space="preserve">Activities: </w:t>
            </w:r>
          </w:p>
          <w:p w14:paraId="5568EA37" w14:textId="251D9458" w:rsidR="00C17D91" w:rsidRPr="00C17D91" w:rsidRDefault="00C17D91" w:rsidP="00352AAB">
            <w:pPr>
              <w:pStyle w:val="ListParagraph"/>
              <w:numPr>
                <w:ilvl w:val="0"/>
                <w:numId w:val="8"/>
              </w:numPr>
              <w:rPr>
                <w:rFonts w:ascii="Roboto Regular" w:hAnsi="Roboto Regular" w:cs="Arial"/>
                <w:sz w:val="20"/>
                <w:szCs w:val="20"/>
              </w:rPr>
            </w:pPr>
            <w:r w:rsidRPr="00C17D91">
              <w:rPr>
                <w:rFonts w:ascii="Roboto Regular" w:hAnsi="Roboto Regular" w:cs="Arial"/>
                <w:sz w:val="20"/>
                <w:szCs w:val="20"/>
              </w:rPr>
              <w:t xml:space="preserve">Sub regional activities to support the development, review and update of legal and institutional frameworks and capacity strengthening for risk evaluation of industrial chemicals, pesticides and severely </w:t>
            </w:r>
            <w:proofErr w:type="spellStart"/>
            <w:r w:rsidRPr="00C17D91">
              <w:rPr>
                <w:rFonts w:ascii="Roboto Regular" w:hAnsi="Roboto Regular" w:cs="Arial"/>
                <w:sz w:val="20"/>
                <w:szCs w:val="20"/>
              </w:rPr>
              <w:t>severely</w:t>
            </w:r>
            <w:proofErr w:type="spellEnd"/>
            <w:r w:rsidRPr="00C17D91">
              <w:rPr>
                <w:rFonts w:ascii="Roboto Regular" w:hAnsi="Roboto Regular" w:cs="Arial"/>
                <w:sz w:val="20"/>
                <w:szCs w:val="20"/>
              </w:rPr>
              <w:t xml:space="preserve"> hazardous pesticide formulations; </w:t>
            </w:r>
          </w:p>
          <w:p w14:paraId="752145C0" w14:textId="72DC2E8B" w:rsidR="00E7296F" w:rsidRPr="00C17D91" w:rsidRDefault="00C17D91" w:rsidP="00352AAB">
            <w:pPr>
              <w:pStyle w:val="ListParagraph"/>
              <w:numPr>
                <w:ilvl w:val="0"/>
                <w:numId w:val="8"/>
              </w:numPr>
              <w:rPr>
                <w:rFonts w:ascii="Roboto Regular" w:hAnsi="Roboto Regular" w:cs="Arial"/>
                <w:sz w:val="20"/>
                <w:szCs w:val="20"/>
              </w:rPr>
            </w:pPr>
            <w:r w:rsidRPr="00C17D91">
              <w:rPr>
                <w:rFonts w:ascii="Roboto Regular" w:hAnsi="Roboto Regular" w:cs="Arial"/>
                <w:sz w:val="20"/>
                <w:szCs w:val="20"/>
              </w:rPr>
              <w:t xml:space="preserve">Country level activities  to support the development, review and update of legal and institutional frameworks and capacity strengthening for risk evaluation of industrial chemicals, pesticides and severely </w:t>
            </w:r>
            <w:proofErr w:type="spellStart"/>
            <w:r w:rsidRPr="00C17D91">
              <w:rPr>
                <w:rFonts w:ascii="Roboto Regular" w:hAnsi="Roboto Regular" w:cs="Arial"/>
                <w:sz w:val="20"/>
                <w:szCs w:val="20"/>
              </w:rPr>
              <w:t>severely</w:t>
            </w:r>
            <w:proofErr w:type="spellEnd"/>
            <w:r w:rsidRPr="00C17D91">
              <w:rPr>
                <w:rFonts w:ascii="Roboto Regular" w:hAnsi="Roboto Regular" w:cs="Arial"/>
                <w:sz w:val="20"/>
                <w:szCs w:val="20"/>
              </w:rPr>
              <w:t xml:space="preserve"> hazardous pesticide formulations.</w:t>
            </w:r>
          </w:p>
        </w:tc>
      </w:tr>
      <w:tr w:rsidR="0029070E" w:rsidRPr="000272A3" w14:paraId="37118E95" w14:textId="77777777" w:rsidTr="00197EB9">
        <w:trPr>
          <w:trHeight w:val="227"/>
        </w:trPr>
        <w:tc>
          <w:tcPr>
            <w:tcW w:w="4961" w:type="dxa"/>
            <w:gridSpan w:val="4"/>
            <w:tcBorders>
              <w:bottom w:val="single" w:sz="4" w:space="0" w:color="000000" w:themeColor="text1"/>
            </w:tcBorders>
            <w:shd w:val="clear" w:color="auto" w:fill="auto"/>
            <w:vAlign w:val="center"/>
          </w:tcPr>
          <w:p w14:paraId="419E443D" w14:textId="77777777" w:rsidR="0029070E" w:rsidRDefault="0029070E" w:rsidP="0088010B">
            <w:pPr>
              <w:rPr>
                <w:rFonts w:ascii="Roboto Regular" w:hAnsi="Roboto Regular" w:cs="Arial"/>
                <w:b/>
                <w:sz w:val="20"/>
                <w:szCs w:val="20"/>
              </w:rPr>
            </w:pPr>
            <w:r>
              <w:rPr>
                <w:rFonts w:ascii="Roboto Regular" w:hAnsi="Roboto Regular" w:cs="Arial"/>
                <w:b/>
                <w:sz w:val="20"/>
                <w:szCs w:val="20"/>
              </w:rPr>
              <w:t xml:space="preserve">Indicators of achievement:  </w:t>
            </w:r>
          </w:p>
          <w:p w14:paraId="740EBC67" w14:textId="6B525D84" w:rsidR="00C17D91" w:rsidRDefault="00C17D91" w:rsidP="00352AAB">
            <w:pPr>
              <w:pStyle w:val="ListParagraph"/>
              <w:numPr>
                <w:ilvl w:val="1"/>
                <w:numId w:val="8"/>
              </w:numPr>
              <w:rPr>
                <w:rFonts w:ascii="Roboto Regular" w:hAnsi="Roboto Regular" w:cs="Arial"/>
                <w:sz w:val="20"/>
                <w:szCs w:val="20"/>
              </w:rPr>
            </w:pPr>
            <w:r w:rsidRPr="00C17D91">
              <w:rPr>
                <w:rFonts w:ascii="Roboto Regular" w:hAnsi="Roboto Regular" w:cs="Arial"/>
                <w:sz w:val="20"/>
                <w:szCs w:val="20"/>
              </w:rPr>
              <w:t>Up to 50 Parties are trained on the Conventions requ</w:t>
            </w:r>
            <w:r>
              <w:rPr>
                <w:rFonts w:ascii="Roboto Regular" w:hAnsi="Roboto Regular" w:cs="Arial"/>
                <w:sz w:val="20"/>
                <w:szCs w:val="20"/>
              </w:rPr>
              <w:t>irements under Articles 5 and 6;</w:t>
            </w:r>
          </w:p>
          <w:p w14:paraId="16AD26D3" w14:textId="38DD8879" w:rsidR="00C17D91" w:rsidRDefault="00C17D91" w:rsidP="00352AAB">
            <w:pPr>
              <w:pStyle w:val="ListParagraph"/>
              <w:numPr>
                <w:ilvl w:val="1"/>
                <w:numId w:val="8"/>
              </w:numPr>
              <w:rPr>
                <w:rFonts w:ascii="Roboto Regular" w:hAnsi="Roboto Regular" w:cs="Arial"/>
                <w:sz w:val="20"/>
                <w:szCs w:val="20"/>
              </w:rPr>
            </w:pPr>
            <w:r w:rsidRPr="00C17D91">
              <w:rPr>
                <w:rFonts w:ascii="Roboto Regular" w:hAnsi="Roboto Regular" w:cs="Arial"/>
                <w:sz w:val="20"/>
                <w:szCs w:val="20"/>
              </w:rPr>
              <w:t>Up to 5 follow up activities at the national level to assist individual Parties with their legal and institutional frameworks and their capacity to evaluate the risk or hazard of industrial chemicals, pesticides and severely hazardous pesticide formulations</w:t>
            </w:r>
            <w:r>
              <w:rPr>
                <w:rFonts w:ascii="Roboto Regular" w:hAnsi="Roboto Regular" w:cs="Arial"/>
                <w:sz w:val="20"/>
                <w:szCs w:val="20"/>
              </w:rPr>
              <w:t>;</w:t>
            </w:r>
          </w:p>
          <w:p w14:paraId="0D7BB68E" w14:textId="63112B8C" w:rsidR="0029070E" w:rsidRPr="00C17D91" w:rsidRDefault="00C17D91" w:rsidP="00352AAB">
            <w:pPr>
              <w:pStyle w:val="ListParagraph"/>
              <w:numPr>
                <w:ilvl w:val="1"/>
                <w:numId w:val="8"/>
              </w:numPr>
              <w:rPr>
                <w:rFonts w:ascii="Roboto Regular" w:hAnsi="Roboto Regular" w:cs="Arial"/>
                <w:sz w:val="20"/>
                <w:szCs w:val="20"/>
              </w:rPr>
            </w:pPr>
            <w:r w:rsidRPr="00C17D91">
              <w:rPr>
                <w:rFonts w:ascii="Roboto Regular" w:hAnsi="Roboto Regular" w:cs="Arial"/>
                <w:sz w:val="20"/>
                <w:szCs w:val="20"/>
              </w:rPr>
              <w:t>Tools and training materials are developed to assist Parties in developing legal frameworks or in developing their capacity for scientifically sound decision making on Final Regulatory Actions (FRAs)</w:t>
            </w:r>
            <w:r>
              <w:rPr>
                <w:rFonts w:ascii="Roboto Regular" w:hAnsi="Roboto Regular" w:cs="Arial"/>
                <w:sz w:val="20"/>
                <w:szCs w:val="20"/>
              </w:rPr>
              <w:t>.</w:t>
            </w:r>
            <w:r w:rsidRPr="00C17D91">
              <w:rPr>
                <w:rFonts w:ascii="Roboto Regular" w:hAnsi="Roboto Regular" w:cs="Arial"/>
                <w:sz w:val="20"/>
                <w:szCs w:val="20"/>
              </w:rPr>
              <w:t xml:space="preserve"> </w:t>
            </w:r>
          </w:p>
        </w:tc>
        <w:tc>
          <w:tcPr>
            <w:tcW w:w="4962" w:type="dxa"/>
            <w:gridSpan w:val="3"/>
            <w:tcBorders>
              <w:bottom w:val="single" w:sz="4" w:space="0" w:color="000000" w:themeColor="text1"/>
            </w:tcBorders>
            <w:shd w:val="clear" w:color="auto" w:fill="auto"/>
            <w:vAlign w:val="center"/>
          </w:tcPr>
          <w:p w14:paraId="0FE13CEB" w14:textId="77777777" w:rsidR="0029070E" w:rsidRPr="00C17D91" w:rsidRDefault="0029070E" w:rsidP="0088010B">
            <w:pPr>
              <w:rPr>
                <w:rFonts w:ascii="Roboto Regular" w:hAnsi="Roboto Regular" w:cs="Arial"/>
                <w:b/>
                <w:sz w:val="20"/>
                <w:szCs w:val="20"/>
              </w:rPr>
            </w:pPr>
            <w:r w:rsidRPr="00C17D91">
              <w:rPr>
                <w:rFonts w:ascii="Roboto Regular" w:hAnsi="Roboto Regular" w:cs="Arial"/>
                <w:b/>
                <w:sz w:val="20"/>
                <w:szCs w:val="20"/>
              </w:rPr>
              <w:t>Means of verification:</w:t>
            </w:r>
          </w:p>
          <w:p w14:paraId="3C6ABE1B" w14:textId="3707CF01" w:rsidR="00C17D91" w:rsidRPr="00C17D91" w:rsidRDefault="00C17D91" w:rsidP="00352AAB">
            <w:pPr>
              <w:pStyle w:val="ListParagraph"/>
              <w:numPr>
                <w:ilvl w:val="0"/>
                <w:numId w:val="4"/>
              </w:numPr>
              <w:rPr>
                <w:rFonts w:ascii="Roboto Regular" w:hAnsi="Roboto Regular" w:cs="Arial"/>
                <w:sz w:val="20"/>
                <w:szCs w:val="20"/>
              </w:rPr>
            </w:pPr>
            <w:r w:rsidRPr="00C17D91">
              <w:rPr>
                <w:rFonts w:ascii="Roboto Regular" w:hAnsi="Roboto Regular" w:cs="Arial"/>
                <w:sz w:val="20"/>
                <w:szCs w:val="20"/>
              </w:rPr>
              <w:t>Workshop report on Convention website;</w:t>
            </w:r>
          </w:p>
          <w:p w14:paraId="7E8233CC" w14:textId="43D123DE" w:rsidR="00C17D91" w:rsidRPr="00C17D91" w:rsidRDefault="00C17D91" w:rsidP="00352AAB">
            <w:pPr>
              <w:pStyle w:val="ListParagraph"/>
              <w:numPr>
                <w:ilvl w:val="0"/>
                <w:numId w:val="4"/>
              </w:numPr>
              <w:rPr>
                <w:rFonts w:ascii="Roboto Regular" w:hAnsi="Roboto Regular" w:cs="Arial"/>
                <w:sz w:val="20"/>
                <w:szCs w:val="20"/>
              </w:rPr>
            </w:pPr>
            <w:r w:rsidRPr="00C17D91">
              <w:rPr>
                <w:rFonts w:ascii="Roboto Regular" w:hAnsi="Roboto Regular" w:cs="Arial"/>
                <w:sz w:val="20"/>
                <w:szCs w:val="20"/>
              </w:rPr>
              <w:t>Report to COP;</w:t>
            </w:r>
          </w:p>
          <w:p w14:paraId="473E2B57" w14:textId="1C365E5E" w:rsidR="0029070E" w:rsidRPr="0029070E" w:rsidRDefault="00C17D91" w:rsidP="00352AAB">
            <w:pPr>
              <w:pStyle w:val="ListParagraph"/>
              <w:numPr>
                <w:ilvl w:val="0"/>
                <w:numId w:val="4"/>
              </w:numPr>
              <w:rPr>
                <w:rFonts w:ascii="Roboto Regular" w:hAnsi="Roboto Regular" w:cs="Arial"/>
                <w:b/>
                <w:sz w:val="20"/>
                <w:szCs w:val="20"/>
              </w:rPr>
            </w:pPr>
            <w:r w:rsidRPr="00C17D91">
              <w:rPr>
                <w:rFonts w:ascii="Roboto Regular" w:hAnsi="Roboto Regular" w:cs="Arial"/>
                <w:sz w:val="20"/>
                <w:szCs w:val="20"/>
              </w:rPr>
              <w:t>Tools and training materials available on the Convention</w:t>
            </w:r>
            <w:r>
              <w:rPr>
                <w:rFonts w:ascii="Roboto Regular" w:hAnsi="Roboto Regular" w:cs="Arial"/>
                <w:b/>
                <w:sz w:val="20"/>
                <w:szCs w:val="20"/>
              </w:rPr>
              <w:t xml:space="preserve"> </w:t>
            </w:r>
            <w:r w:rsidRPr="00C17D91">
              <w:rPr>
                <w:rFonts w:ascii="Roboto Regular" w:hAnsi="Roboto Regular" w:cs="Arial"/>
                <w:sz w:val="20"/>
                <w:szCs w:val="20"/>
              </w:rPr>
              <w:t>website.</w:t>
            </w:r>
          </w:p>
        </w:tc>
      </w:tr>
      <w:tr w:rsidR="00197EB9" w:rsidRPr="00C17D91" w14:paraId="26BF478B" w14:textId="77777777" w:rsidTr="00D1278E">
        <w:trPr>
          <w:trHeight w:val="227"/>
        </w:trPr>
        <w:tc>
          <w:tcPr>
            <w:tcW w:w="9923" w:type="dxa"/>
            <w:gridSpan w:val="7"/>
            <w:tcBorders>
              <w:bottom w:val="nil"/>
            </w:tcBorders>
            <w:shd w:val="clear" w:color="auto" w:fill="auto"/>
            <w:vAlign w:val="center"/>
          </w:tcPr>
          <w:p w14:paraId="3E5CF774" w14:textId="17E348A0" w:rsidR="009438B8" w:rsidRDefault="009438B8" w:rsidP="009438B8">
            <w:pPr>
              <w:rPr>
                <w:rFonts w:ascii="Roboto Regular" w:hAnsi="Roboto Regular" w:cs="Arial"/>
                <w:b/>
                <w:sz w:val="20"/>
                <w:szCs w:val="20"/>
              </w:rPr>
            </w:pPr>
            <w:r w:rsidRPr="009438B8">
              <w:rPr>
                <w:rFonts w:ascii="Roboto Regular" w:hAnsi="Roboto Regular" w:cs="Arial"/>
                <w:b/>
                <w:sz w:val="20"/>
                <w:szCs w:val="20"/>
              </w:rPr>
              <w:t xml:space="preserve">Component 15.3: PIC Procedure, including import responses, and export notifications  </w:t>
            </w:r>
          </w:p>
          <w:p w14:paraId="0565D468" w14:textId="77777777" w:rsidR="009438B8" w:rsidRPr="009438B8" w:rsidRDefault="009438B8" w:rsidP="009438B8">
            <w:pPr>
              <w:rPr>
                <w:rFonts w:ascii="Roboto Regular" w:hAnsi="Roboto Regular" w:cs="Arial"/>
                <w:b/>
                <w:sz w:val="20"/>
                <w:szCs w:val="20"/>
              </w:rPr>
            </w:pPr>
          </w:p>
          <w:p w14:paraId="64BB8504" w14:textId="2A7C3A86" w:rsidR="009438B8" w:rsidRDefault="009438B8" w:rsidP="009438B8">
            <w:pPr>
              <w:rPr>
                <w:rFonts w:ascii="Roboto Regular" w:hAnsi="Roboto Regular" w:cs="Arial"/>
                <w:sz w:val="20"/>
                <w:szCs w:val="20"/>
              </w:rPr>
            </w:pPr>
            <w:r w:rsidRPr="009438B8">
              <w:rPr>
                <w:rFonts w:ascii="Roboto Regular" w:hAnsi="Roboto Regular" w:cs="Arial"/>
                <w:b/>
                <w:sz w:val="20"/>
                <w:szCs w:val="20"/>
              </w:rPr>
              <w:t>Outcomes</w:t>
            </w:r>
            <w:r w:rsidRPr="009438B8">
              <w:rPr>
                <w:rFonts w:ascii="Roboto Regular" w:hAnsi="Roboto Regular" w:cs="Arial"/>
                <w:sz w:val="20"/>
                <w:szCs w:val="20"/>
              </w:rPr>
              <w:t xml:space="preserve">: Strengthened capacity for the development, review and update of legal and institutional frameworks and capacity strengthening for risk evaluation of industrial chemicals, pesticides and severely hazardous pesticide formulations; enhanced effectiveness of the Rotterdam Convention with a focus on Articles 10 and 11 (obligations in relation to imports and exports of chemicals in Annex III), 12 (export notification) and 13 (information to accompany exported chemicals). Cooperation on national and regional level among Designated National Authorities, Customs and other key stakeholders fostered and dialogue among DNAs in a region fostered on challenges faced in the implementation of the Rotterdam Convention and experience shared and cooperation promoted in addressing these challenges. Customs trained on their role in implementing the Convention. </w:t>
            </w:r>
          </w:p>
          <w:p w14:paraId="7ADDFA85" w14:textId="77777777" w:rsidR="009438B8" w:rsidRDefault="009438B8" w:rsidP="009438B8">
            <w:pPr>
              <w:rPr>
                <w:rFonts w:ascii="Roboto Regular" w:hAnsi="Roboto Regular" w:cs="Arial"/>
                <w:sz w:val="20"/>
                <w:szCs w:val="20"/>
              </w:rPr>
            </w:pPr>
          </w:p>
          <w:p w14:paraId="365A901A" w14:textId="77777777" w:rsidR="009438B8" w:rsidRPr="009438B8" w:rsidRDefault="009438B8" w:rsidP="009438B8">
            <w:pPr>
              <w:rPr>
                <w:rFonts w:ascii="Roboto Regular" w:hAnsi="Roboto Regular" w:cs="Arial"/>
                <w:b/>
                <w:sz w:val="20"/>
                <w:szCs w:val="20"/>
              </w:rPr>
            </w:pPr>
            <w:r w:rsidRPr="009438B8">
              <w:rPr>
                <w:rFonts w:ascii="Roboto Regular" w:hAnsi="Roboto Regular" w:cs="Arial"/>
                <w:b/>
                <w:sz w:val="20"/>
                <w:szCs w:val="20"/>
              </w:rPr>
              <w:t>Activities:</w:t>
            </w:r>
          </w:p>
          <w:p w14:paraId="4251DA01" w14:textId="72F6B327" w:rsidR="009438B8" w:rsidRPr="009438B8" w:rsidRDefault="009438B8" w:rsidP="00352AAB">
            <w:pPr>
              <w:pStyle w:val="ListParagraph"/>
              <w:numPr>
                <w:ilvl w:val="0"/>
                <w:numId w:val="12"/>
              </w:numPr>
              <w:rPr>
                <w:rFonts w:ascii="Roboto Regular" w:hAnsi="Roboto Regular" w:cs="Arial"/>
                <w:sz w:val="20"/>
                <w:szCs w:val="20"/>
              </w:rPr>
            </w:pPr>
            <w:r w:rsidRPr="009438B8">
              <w:rPr>
                <w:rFonts w:ascii="Roboto Regular" w:hAnsi="Roboto Regular" w:cs="Arial"/>
                <w:sz w:val="20"/>
                <w:szCs w:val="20"/>
              </w:rPr>
              <w:t xml:space="preserve">Sub regional activities to support the capacity of Parties to implement the PIC Procedure, including import responses, and export notifications; </w:t>
            </w:r>
          </w:p>
          <w:p w14:paraId="4773D432" w14:textId="358A91DD" w:rsidR="009438B8" w:rsidRPr="009438B8" w:rsidRDefault="009438B8" w:rsidP="00352AAB">
            <w:pPr>
              <w:pStyle w:val="ListParagraph"/>
              <w:numPr>
                <w:ilvl w:val="0"/>
                <w:numId w:val="12"/>
              </w:numPr>
              <w:rPr>
                <w:rFonts w:ascii="Roboto Regular" w:hAnsi="Roboto Regular" w:cs="Arial"/>
                <w:sz w:val="20"/>
                <w:szCs w:val="20"/>
              </w:rPr>
            </w:pPr>
            <w:r w:rsidRPr="009438B8">
              <w:rPr>
                <w:rFonts w:ascii="Roboto Regular" w:hAnsi="Roboto Regular" w:cs="Arial"/>
                <w:sz w:val="20"/>
                <w:szCs w:val="20"/>
              </w:rPr>
              <w:t xml:space="preserve">Country level activities to support the capacity of Parties to implement the PIC Procedure, including import responses, and export notifications; coordination and cooperation mechanism between DNAs, Customs and other enforcement entities; </w:t>
            </w:r>
          </w:p>
          <w:p w14:paraId="616625A6" w14:textId="29FCA25C" w:rsidR="00197EB9" w:rsidRPr="009438B8" w:rsidRDefault="009438B8" w:rsidP="00352AAB">
            <w:pPr>
              <w:pStyle w:val="ListParagraph"/>
              <w:numPr>
                <w:ilvl w:val="0"/>
                <w:numId w:val="12"/>
              </w:numPr>
              <w:rPr>
                <w:rFonts w:ascii="Roboto Regular" w:hAnsi="Roboto Regular" w:cs="Arial"/>
                <w:sz w:val="20"/>
                <w:szCs w:val="20"/>
              </w:rPr>
            </w:pPr>
            <w:r w:rsidRPr="009438B8">
              <w:rPr>
                <w:rFonts w:ascii="Roboto Regular" w:hAnsi="Roboto Regular" w:cs="Arial"/>
                <w:sz w:val="20"/>
                <w:szCs w:val="20"/>
              </w:rPr>
              <w:lastRenderedPageBreak/>
              <w:t xml:space="preserve"> Tools (Handbook, Resource Kit, etc.) and training materials to support implementation of the PIC Procedure, including import responses, and export notifications.</w:t>
            </w:r>
          </w:p>
        </w:tc>
      </w:tr>
      <w:tr w:rsidR="00197EB9" w:rsidRPr="0029070E" w14:paraId="281F6621" w14:textId="77777777" w:rsidTr="00D1278E">
        <w:trPr>
          <w:trHeight w:val="227"/>
        </w:trPr>
        <w:tc>
          <w:tcPr>
            <w:tcW w:w="4961" w:type="dxa"/>
            <w:gridSpan w:val="4"/>
            <w:tcBorders>
              <w:bottom w:val="single" w:sz="4" w:space="0" w:color="000000" w:themeColor="text1"/>
            </w:tcBorders>
            <w:shd w:val="clear" w:color="auto" w:fill="auto"/>
            <w:vAlign w:val="center"/>
          </w:tcPr>
          <w:p w14:paraId="13286B1A" w14:textId="77777777" w:rsidR="00197EB9" w:rsidRDefault="00197EB9" w:rsidP="00D1278E">
            <w:pPr>
              <w:rPr>
                <w:rFonts w:ascii="Roboto Regular" w:hAnsi="Roboto Regular" w:cs="Arial"/>
                <w:b/>
                <w:sz w:val="20"/>
                <w:szCs w:val="20"/>
              </w:rPr>
            </w:pPr>
            <w:r>
              <w:rPr>
                <w:rFonts w:ascii="Roboto Regular" w:hAnsi="Roboto Regular" w:cs="Arial"/>
                <w:b/>
                <w:sz w:val="20"/>
                <w:szCs w:val="20"/>
              </w:rPr>
              <w:lastRenderedPageBreak/>
              <w:t xml:space="preserve">Indicators of achievement:  </w:t>
            </w:r>
          </w:p>
          <w:p w14:paraId="11C9A8E9" w14:textId="5C6D57AB" w:rsidR="009438B8" w:rsidRDefault="009438B8" w:rsidP="00352AAB">
            <w:pPr>
              <w:pStyle w:val="ListParagraph"/>
              <w:numPr>
                <w:ilvl w:val="1"/>
                <w:numId w:val="12"/>
              </w:numPr>
              <w:rPr>
                <w:rFonts w:ascii="Roboto Regular" w:hAnsi="Roboto Regular" w:cs="Arial"/>
                <w:sz w:val="20"/>
                <w:szCs w:val="20"/>
              </w:rPr>
            </w:pPr>
            <w:r w:rsidRPr="009438B8">
              <w:rPr>
                <w:rFonts w:ascii="Roboto Regular" w:hAnsi="Roboto Regular" w:cs="Arial"/>
                <w:sz w:val="20"/>
                <w:szCs w:val="20"/>
              </w:rPr>
              <w:t>Up to 50 Parties are trained on the Convention’s PIC procedure and export requirements under Articles 10, 11, 12 a</w:t>
            </w:r>
            <w:r>
              <w:rPr>
                <w:rFonts w:ascii="Roboto Regular" w:hAnsi="Roboto Regular" w:cs="Arial"/>
                <w:sz w:val="20"/>
                <w:szCs w:val="20"/>
              </w:rPr>
              <w:t>nd 13;</w:t>
            </w:r>
            <w:r w:rsidRPr="009438B8">
              <w:rPr>
                <w:rFonts w:ascii="Roboto Regular" w:hAnsi="Roboto Regular" w:cs="Arial"/>
                <w:sz w:val="20"/>
                <w:szCs w:val="20"/>
              </w:rPr>
              <w:t xml:space="preserve"> </w:t>
            </w:r>
          </w:p>
          <w:p w14:paraId="4EA0210A" w14:textId="2D18CBB4" w:rsidR="009438B8" w:rsidRDefault="009438B8" w:rsidP="00352AAB">
            <w:pPr>
              <w:pStyle w:val="ListParagraph"/>
              <w:numPr>
                <w:ilvl w:val="1"/>
                <w:numId w:val="12"/>
              </w:numPr>
              <w:rPr>
                <w:rFonts w:ascii="Roboto Regular" w:hAnsi="Roboto Regular" w:cs="Arial"/>
                <w:sz w:val="20"/>
                <w:szCs w:val="20"/>
              </w:rPr>
            </w:pPr>
            <w:r w:rsidRPr="009438B8">
              <w:rPr>
                <w:rFonts w:ascii="Roboto Regular" w:hAnsi="Roboto Regular" w:cs="Arial"/>
                <w:sz w:val="20"/>
                <w:szCs w:val="20"/>
              </w:rPr>
              <w:t>Up to 5 follow up activities at the national level to assist individual Parties establish coordination and cooperative mechanisms among DNAs, Customs and other key stakeholders</w:t>
            </w:r>
            <w:r>
              <w:rPr>
                <w:rFonts w:ascii="Roboto Regular" w:hAnsi="Roboto Regular" w:cs="Arial"/>
                <w:sz w:val="20"/>
                <w:szCs w:val="20"/>
              </w:rPr>
              <w:t>;</w:t>
            </w:r>
            <w:r w:rsidRPr="009438B8">
              <w:rPr>
                <w:rFonts w:ascii="Roboto Regular" w:hAnsi="Roboto Regular" w:cs="Arial"/>
                <w:sz w:val="20"/>
                <w:szCs w:val="20"/>
              </w:rPr>
              <w:t xml:space="preserve"> </w:t>
            </w:r>
          </w:p>
          <w:p w14:paraId="6C0143C0" w14:textId="0B9F5E15" w:rsidR="00197EB9" w:rsidRPr="009438B8" w:rsidRDefault="009438B8" w:rsidP="00352AAB">
            <w:pPr>
              <w:pStyle w:val="ListParagraph"/>
              <w:numPr>
                <w:ilvl w:val="1"/>
                <w:numId w:val="12"/>
              </w:numPr>
              <w:rPr>
                <w:rFonts w:ascii="Roboto Regular" w:hAnsi="Roboto Regular" w:cs="Arial"/>
                <w:sz w:val="20"/>
                <w:szCs w:val="20"/>
              </w:rPr>
            </w:pPr>
            <w:r w:rsidRPr="009438B8">
              <w:rPr>
                <w:rFonts w:ascii="Roboto Regular" w:hAnsi="Roboto Regular" w:cs="Arial"/>
                <w:sz w:val="20"/>
                <w:szCs w:val="20"/>
              </w:rPr>
              <w:t xml:space="preserve">Tools and training materials </w:t>
            </w:r>
            <w:r>
              <w:rPr>
                <w:rFonts w:ascii="Roboto Regular" w:hAnsi="Roboto Regular" w:cs="Arial"/>
                <w:sz w:val="20"/>
                <w:szCs w:val="20"/>
              </w:rPr>
              <w:t>are developed to assist Parties.</w:t>
            </w:r>
          </w:p>
        </w:tc>
        <w:tc>
          <w:tcPr>
            <w:tcW w:w="4962" w:type="dxa"/>
            <w:gridSpan w:val="3"/>
            <w:tcBorders>
              <w:bottom w:val="single" w:sz="4" w:space="0" w:color="000000" w:themeColor="text1"/>
            </w:tcBorders>
            <w:shd w:val="clear" w:color="auto" w:fill="auto"/>
            <w:vAlign w:val="center"/>
          </w:tcPr>
          <w:p w14:paraId="07911FCE" w14:textId="77777777" w:rsidR="00197EB9" w:rsidRPr="00C17D91" w:rsidRDefault="00197EB9" w:rsidP="00D1278E">
            <w:pPr>
              <w:rPr>
                <w:rFonts w:ascii="Roboto Regular" w:hAnsi="Roboto Regular" w:cs="Arial"/>
                <w:b/>
                <w:sz w:val="20"/>
                <w:szCs w:val="20"/>
              </w:rPr>
            </w:pPr>
            <w:r w:rsidRPr="00C17D91">
              <w:rPr>
                <w:rFonts w:ascii="Roboto Regular" w:hAnsi="Roboto Regular" w:cs="Arial"/>
                <w:b/>
                <w:sz w:val="20"/>
                <w:szCs w:val="20"/>
              </w:rPr>
              <w:t>Means of verification:</w:t>
            </w:r>
          </w:p>
          <w:p w14:paraId="6436565C" w14:textId="49519388" w:rsidR="009438B8" w:rsidRDefault="009438B8" w:rsidP="00352AAB">
            <w:pPr>
              <w:pStyle w:val="ListParagraph"/>
              <w:numPr>
                <w:ilvl w:val="1"/>
                <w:numId w:val="2"/>
              </w:numPr>
              <w:rPr>
                <w:rFonts w:ascii="Roboto Regular" w:hAnsi="Roboto Regular" w:cs="Arial"/>
                <w:sz w:val="20"/>
                <w:szCs w:val="20"/>
              </w:rPr>
            </w:pPr>
            <w:r w:rsidRPr="009438B8">
              <w:rPr>
                <w:rFonts w:ascii="Roboto Regular" w:hAnsi="Roboto Regular" w:cs="Arial"/>
                <w:sz w:val="20"/>
                <w:szCs w:val="20"/>
              </w:rPr>
              <w:t>Workshop report on Convention website</w:t>
            </w:r>
            <w:r>
              <w:rPr>
                <w:rFonts w:ascii="Roboto Regular" w:hAnsi="Roboto Regular" w:cs="Arial"/>
                <w:sz w:val="20"/>
                <w:szCs w:val="20"/>
              </w:rPr>
              <w:t>;</w:t>
            </w:r>
          </w:p>
          <w:p w14:paraId="0AA79C1D" w14:textId="4FB44EB7" w:rsidR="009438B8" w:rsidRDefault="009438B8" w:rsidP="00352AAB">
            <w:pPr>
              <w:pStyle w:val="ListParagraph"/>
              <w:numPr>
                <w:ilvl w:val="0"/>
                <w:numId w:val="2"/>
              </w:numPr>
              <w:rPr>
                <w:rFonts w:ascii="Roboto Regular" w:hAnsi="Roboto Regular" w:cs="Arial"/>
                <w:sz w:val="20"/>
                <w:szCs w:val="20"/>
              </w:rPr>
            </w:pPr>
            <w:r>
              <w:rPr>
                <w:rFonts w:ascii="Roboto Regular" w:hAnsi="Roboto Regular" w:cs="Arial"/>
                <w:sz w:val="20"/>
                <w:szCs w:val="20"/>
              </w:rPr>
              <w:t>Report to COP;</w:t>
            </w:r>
          </w:p>
          <w:p w14:paraId="1357BDF7" w14:textId="4324297F" w:rsidR="00197EB9" w:rsidRPr="009438B8" w:rsidRDefault="009438B8" w:rsidP="00352AAB">
            <w:pPr>
              <w:pStyle w:val="ListParagraph"/>
              <w:numPr>
                <w:ilvl w:val="0"/>
                <w:numId w:val="2"/>
              </w:numPr>
              <w:rPr>
                <w:rFonts w:ascii="Roboto Regular" w:hAnsi="Roboto Regular" w:cs="Arial"/>
                <w:sz w:val="20"/>
                <w:szCs w:val="20"/>
              </w:rPr>
            </w:pPr>
            <w:r w:rsidRPr="009438B8">
              <w:rPr>
                <w:rFonts w:ascii="Roboto Regular" w:hAnsi="Roboto Regular" w:cs="Arial"/>
                <w:sz w:val="20"/>
                <w:szCs w:val="20"/>
              </w:rPr>
              <w:t>Tools and  training mat</w:t>
            </w:r>
            <w:r>
              <w:rPr>
                <w:rFonts w:ascii="Roboto Regular" w:hAnsi="Roboto Regular" w:cs="Arial"/>
                <w:sz w:val="20"/>
                <w:szCs w:val="20"/>
              </w:rPr>
              <w:t>erial available on the website.</w:t>
            </w:r>
          </w:p>
        </w:tc>
      </w:tr>
      <w:tr w:rsidR="00197EB9" w:rsidRPr="000272A3" w14:paraId="2137DC42" w14:textId="77777777" w:rsidTr="00197EB9">
        <w:trPr>
          <w:trHeight w:val="227"/>
        </w:trPr>
        <w:tc>
          <w:tcPr>
            <w:tcW w:w="9923" w:type="dxa"/>
            <w:gridSpan w:val="7"/>
            <w:tcBorders>
              <w:bottom w:val="single" w:sz="4" w:space="0" w:color="auto"/>
            </w:tcBorders>
            <w:shd w:val="clear" w:color="auto" w:fill="auto"/>
            <w:vAlign w:val="center"/>
          </w:tcPr>
          <w:p w14:paraId="1E1E12EE" w14:textId="77777777" w:rsidR="00197EB9" w:rsidRDefault="00197EB9" w:rsidP="00197EB9">
            <w:pPr>
              <w:rPr>
                <w:rFonts w:ascii="Roboto Regular" w:hAnsi="Roboto Regular" w:cs="Arial"/>
                <w:b/>
                <w:sz w:val="20"/>
                <w:szCs w:val="20"/>
              </w:rPr>
            </w:pPr>
            <w:r w:rsidRPr="00C17D91">
              <w:rPr>
                <w:rFonts w:ascii="Roboto Regular" w:hAnsi="Roboto Regular" w:cs="Arial"/>
                <w:b/>
                <w:sz w:val="20"/>
                <w:szCs w:val="20"/>
              </w:rPr>
              <w:t xml:space="preserve">Component 15.4: Strengthening Parties' capacities to propose Severely Hazardous Pesticide Formulations (SHPF) through provision of technical assistance in monitoring and reporting pesticide incidents and identification of Highly Hazardous Pesticides (HHPs) </w:t>
            </w:r>
          </w:p>
          <w:p w14:paraId="02C8F56E" w14:textId="77777777" w:rsidR="00197EB9" w:rsidRDefault="00197EB9" w:rsidP="00197EB9">
            <w:pPr>
              <w:rPr>
                <w:rFonts w:ascii="Roboto Regular" w:hAnsi="Roboto Regular" w:cs="Arial"/>
                <w:b/>
                <w:sz w:val="20"/>
                <w:szCs w:val="20"/>
              </w:rPr>
            </w:pPr>
          </w:p>
          <w:p w14:paraId="727C1C94" w14:textId="77777777" w:rsidR="00197EB9" w:rsidRDefault="00197EB9" w:rsidP="00197EB9">
            <w:pPr>
              <w:rPr>
                <w:rFonts w:ascii="Roboto Regular" w:hAnsi="Roboto Regular" w:cs="Arial"/>
                <w:b/>
                <w:sz w:val="20"/>
                <w:szCs w:val="20"/>
              </w:rPr>
            </w:pPr>
            <w:r w:rsidRPr="00C17D91">
              <w:rPr>
                <w:rFonts w:ascii="Roboto Regular" w:hAnsi="Roboto Regular" w:cs="Arial"/>
                <w:b/>
                <w:sz w:val="20"/>
                <w:szCs w:val="20"/>
              </w:rPr>
              <w:t xml:space="preserve">Outcomes: </w:t>
            </w:r>
          </w:p>
          <w:p w14:paraId="1E614CA3" w14:textId="77777777" w:rsidR="00197EB9" w:rsidRPr="00197EB9" w:rsidRDefault="00197EB9" w:rsidP="00352AAB">
            <w:pPr>
              <w:pStyle w:val="ListParagraph"/>
              <w:numPr>
                <w:ilvl w:val="0"/>
                <w:numId w:val="9"/>
              </w:numPr>
              <w:rPr>
                <w:rFonts w:ascii="Roboto Regular" w:hAnsi="Roboto Regular" w:cs="Arial"/>
                <w:sz w:val="20"/>
                <w:szCs w:val="20"/>
              </w:rPr>
            </w:pPr>
            <w:r w:rsidRPr="00197EB9">
              <w:rPr>
                <w:rFonts w:ascii="Roboto Regular" w:hAnsi="Roboto Regular" w:cs="Arial"/>
                <w:sz w:val="20"/>
                <w:szCs w:val="20"/>
              </w:rPr>
              <w:t xml:space="preserve">Technical Assistance provided to Parties in setting up framework to systematically collect, evaluate and report information pursuant to Article 6 and Annex IV of RC on severely hazardous pesticide formulations; </w:t>
            </w:r>
          </w:p>
          <w:p w14:paraId="15C5BECB" w14:textId="77777777" w:rsidR="00197EB9" w:rsidRPr="00197EB9" w:rsidRDefault="00197EB9" w:rsidP="00352AAB">
            <w:pPr>
              <w:pStyle w:val="ListParagraph"/>
              <w:numPr>
                <w:ilvl w:val="0"/>
                <w:numId w:val="9"/>
              </w:numPr>
              <w:rPr>
                <w:rFonts w:ascii="Roboto Regular" w:hAnsi="Roboto Regular" w:cs="Arial"/>
                <w:sz w:val="20"/>
                <w:szCs w:val="20"/>
              </w:rPr>
            </w:pPr>
            <w:r w:rsidRPr="00197EB9">
              <w:rPr>
                <w:rFonts w:ascii="Roboto Regular" w:hAnsi="Roboto Regular" w:cs="Arial"/>
                <w:sz w:val="20"/>
                <w:szCs w:val="20"/>
              </w:rPr>
              <w:t xml:space="preserve">Integrated approach on pesticide management promoted on identification of Severely Hazardous Pesticide Formulations (SHPF) and on Highly Hazardous Pesticides (HHPs) on the national level; </w:t>
            </w:r>
          </w:p>
          <w:p w14:paraId="5E35205A" w14:textId="77777777" w:rsidR="00197EB9" w:rsidRPr="00197EB9" w:rsidRDefault="00197EB9" w:rsidP="00352AAB">
            <w:pPr>
              <w:pStyle w:val="ListParagraph"/>
              <w:numPr>
                <w:ilvl w:val="0"/>
                <w:numId w:val="9"/>
              </w:numPr>
              <w:rPr>
                <w:rFonts w:ascii="Roboto Regular" w:hAnsi="Roboto Regular" w:cs="Arial"/>
                <w:sz w:val="20"/>
                <w:szCs w:val="20"/>
              </w:rPr>
            </w:pPr>
            <w:r w:rsidRPr="00197EB9">
              <w:rPr>
                <w:rFonts w:ascii="Roboto Regular" w:hAnsi="Roboto Regular" w:cs="Arial"/>
                <w:sz w:val="20"/>
                <w:szCs w:val="20"/>
              </w:rPr>
              <w:t xml:space="preserve">Technical assistance provided to Parties in identifying pesticides of relevance to Article 5 and 6 of RC and the identification and validation of suitable and economically viable alternatives and alternative methods; promote information exchange among Parties on sustainable alternatives. </w:t>
            </w:r>
          </w:p>
          <w:p w14:paraId="3726F5C9" w14:textId="77777777" w:rsidR="00197EB9" w:rsidRDefault="00197EB9" w:rsidP="00197EB9">
            <w:pPr>
              <w:rPr>
                <w:rFonts w:ascii="Roboto Regular" w:hAnsi="Roboto Regular" w:cs="Arial"/>
                <w:sz w:val="20"/>
                <w:szCs w:val="20"/>
              </w:rPr>
            </w:pPr>
          </w:p>
          <w:p w14:paraId="6CAFF8BB" w14:textId="77777777" w:rsidR="00197EB9" w:rsidRDefault="00197EB9" w:rsidP="00197EB9">
            <w:pPr>
              <w:rPr>
                <w:rFonts w:ascii="Roboto Regular" w:hAnsi="Roboto Regular" w:cs="Arial"/>
                <w:sz w:val="20"/>
                <w:szCs w:val="20"/>
              </w:rPr>
            </w:pPr>
            <w:r w:rsidRPr="00C17D91">
              <w:rPr>
                <w:rFonts w:ascii="Roboto Regular" w:hAnsi="Roboto Regular" w:cs="Arial"/>
                <w:b/>
                <w:sz w:val="20"/>
                <w:szCs w:val="20"/>
              </w:rPr>
              <w:t>Activities</w:t>
            </w:r>
            <w:r w:rsidRPr="00C17D91">
              <w:rPr>
                <w:rFonts w:ascii="Roboto Regular" w:hAnsi="Roboto Regular" w:cs="Arial"/>
                <w:sz w:val="20"/>
                <w:szCs w:val="20"/>
              </w:rPr>
              <w:t xml:space="preserve">: </w:t>
            </w:r>
          </w:p>
          <w:p w14:paraId="35E62089" w14:textId="77777777" w:rsidR="00197EB9" w:rsidRPr="00197EB9" w:rsidRDefault="00197EB9" w:rsidP="00352AAB">
            <w:pPr>
              <w:pStyle w:val="ListParagraph"/>
              <w:numPr>
                <w:ilvl w:val="0"/>
                <w:numId w:val="10"/>
              </w:numPr>
              <w:rPr>
                <w:rFonts w:ascii="Roboto Regular" w:hAnsi="Roboto Regular" w:cs="Arial"/>
                <w:sz w:val="20"/>
                <w:szCs w:val="20"/>
              </w:rPr>
            </w:pPr>
            <w:r w:rsidRPr="00197EB9">
              <w:rPr>
                <w:rFonts w:ascii="Roboto Regular" w:hAnsi="Roboto Regular" w:cs="Arial"/>
                <w:sz w:val="20"/>
                <w:szCs w:val="20"/>
              </w:rPr>
              <w:t xml:space="preserve">Provide technical assistance to Parties in setting up framework to systematically collect, evaluate and report information pursuant to Article 6 and Annex IV on SHPFs; </w:t>
            </w:r>
          </w:p>
          <w:p w14:paraId="13DD829C" w14:textId="77777777" w:rsidR="00197EB9" w:rsidRDefault="00197EB9" w:rsidP="00352AAB">
            <w:pPr>
              <w:pStyle w:val="ListParagraph"/>
              <w:numPr>
                <w:ilvl w:val="0"/>
                <w:numId w:val="10"/>
              </w:numPr>
              <w:rPr>
                <w:rFonts w:ascii="Roboto Regular" w:hAnsi="Roboto Regular" w:cs="Arial"/>
                <w:sz w:val="20"/>
                <w:szCs w:val="20"/>
              </w:rPr>
            </w:pPr>
            <w:r w:rsidRPr="00197EB9">
              <w:rPr>
                <w:rFonts w:ascii="Roboto Regular" w:hAnsi="Roboto Regular" w:cs="Arial"/>
                <w:sz w:val="20"/>
                <w:szCs w:val="20"/>
              </w:rPr>
              <w:t xml:space="preserve">Promote an integrated approach on pesticide management both the work on identification of SHPFs and on HHPs on the national level; </w:t>
            </w:r>
          </w:p>
          <w:p w14:paraId="3D73DED1" w14:textId="789C00F4" w:rsidR="00197EB9" w:rsidRPr="00197EB9" w:rsidRDefault="00197EB9" w:rsidP="00352AAB">
            <w:pPr>
              <w:pStyle w:val="ListParagraph"/>
              <w:numPr>
                <w:ilvl w:val="0"/>
                <w:numId w:val="10"/>
              </w:numPr>
              <w:rPr>
                <w:rFonts w:ascii="Roboto Regular" w:hAnsi="Roboto Regular" w:cs="Arial"/>
                <w:sz w:val="20"/>
                <w:szCs w:val="20"/>
              </w:rPr>
            </w:pPr>
            <w:r w:rsidRPr="00197EB9">
              <w:rPr>
                <w:rFonts w:ascii="Roboto Regular" w:hAnsi="Roboto Regular" w:cs="Arial"/>
                <w:sz w:val="20"/>
                <w:szCs w:val="20"/>
              </w:rPr>
              <w:t>Provide technical assistance to Parties in identifying pesticides of relevance to Article 5 and 6 and the identification and validation of suitable and economically viable alternatives and alternative methods, promote information exchange among Parties on sustainable alternatives</w:t>
            </w:r>
          </w:p>
        </w:tc>
      </w:tr>
      <w:tr w:rsidR="00197EB9" w:rsidRPr="0029070E" w14:paraId="0EBEAEBB" w14:textId="77777777" w:rsidTr="00D1278E">
        <w:trPr>
          <w:trHeight w:val="227"/>
        </w:trPr>
        <w:tc>
          <w:tcPr>
            <w:tcW w:w="4961" w:type="dxa"/>
            <w:gridSpan w:val="4"/>
            <w:tcBorders>
              <w:bottom w:val="nil"/>
            </w:tcBorders>
            <w:shd w:val="clear" w:color="auto" w:fill="auto"/>
            <w:vAlign w:val="center"/>
          </w:tcPr>
          <w:p w14:paraId="512C32CC" w14:textId="77777777" w:rsidR="00197EB9" w:rsidRDefault="00197EB9" w:rsidP="00D1278E">
            <w:pPr>
              <w:rPr>
                <w:rFonts w:ascii="Roboto Regular" w:hAnsi="Roboto Regular" w:cs="Arial"/>
                <w:b/>
                <w:sz w:val="20"/>
                <w:szCs w:val="20"/>
              </w:rPr>
            </w:pPr>
            <w:r>
              <w:rPr>
                <w:rFonts w:ascii="Roboto Regular" w:hAnsi="Roboto Regular" w:cs="Arial"/>
                <w:b/>
                <w:sz w:val="20"/>
                <w:szCs w:val="20"/>
              </w:rPr>
              <w:t xml:space="preserve">Indicators of achievement:  </w:t>
            </w:r>
          </w:p>
          <w:p w14:paraId="49B72282" w14:textId="240B8BF1" w:rsidR="00197EB9" w:rsidRPr="00197EB9" w:rsidRDefault="00197EB9" w:rsidP="00352AAB">
            <w:pPr>
              <w:pStyle w:val="ListParagraph"/>
              <w:numPr>
                <w:ilvl w:val="0"/>
                <w:numId w:val="11"/>
              </w:numPr>
              <w:rPr>
                <w:rFonts w:ascii="Roboto Regular" w:hAnsi="Roboto Regular" w:cs="Arial"/>
                <w:sz w:val="20"/>
                <w:szCs w:val="20"/>
              </w:rPr>
            </w:pPr>
            <w:r w:rsidRPr="00197EB9">
              <w:rPr>
                <w:rFonts w:ascii="Roboto Regular" w:hAnsi="Roboto Regular" w:cs="Arial"/>
                <w:sz w:val="20"/>
                <w:szCs w:val="20"/>
              </w:rPr>
              <w:t>Number of proposals of Severely Hazardous Pesticide Formulation submitted by Parties to the Secretariat;</w:t>
            </w:r>
          </w:p>
          <w:p w14:paraId="47CDC494" w14:textId="164E5C0B" w:rsidR="00197EB9" w:rsidRPr="00197EB9" w:rsidRDefault="00197EB9" w:rsidP="00352AAB">
            <w:pPr>
              <w:pStyle w:val="ListParagraph"/>
              <w:numPr>
                <w:ilvl w:val="0"/>
                <w:numId w:val="11"/>
              </w:numPr>
              <w:rPr>
                <w:rFonts w:ascii="Roboto Regular" w:hAnsi="Roboto Regular" w:cs="Arial"/>
                <w:sz w:val="20"/>
                <w:szCs w:val="20"/>
              </w:rPr>
            </w:pPr>
            <w:r w:rsidRPr="00197EB9">
              <w:rPr>
                <w:rFonts w:ascii="Roboto Regular" w:hAnsi="Roboto Regular" w:cs="Arial"/>
                <w:sz w:val="20"/>
                <w:szCs w:val="20"/>
              </w:rPr>
              <w:t>Number of Information documents on alternatives.</w:t>
            </w:r>
          </w:p>
        </w:tc>
        <w:tc>
          <w:tcPr>
            <w:tcW w:w="4962" w:type="dxa"/>
            <w:gridSpan w:val="3"/>
            <w:tcBorders>
              <w:bottom w:val="nil"/>
            </w:tcBorders>
            <w:shd w:val="clear" w:color="auto" w:fill="auto"/>
            <w:vAlign w:val="center"/>
          </w:tcPr>
          <w:p w14:paraId="3BFB3D54" w14:textId="77777777" w:rsidR="00197EB9" w:rsidRPr="00C17D91" w:rsidRDefault="00197EB9" w:rsidP="00D1278E">
            <w:pPr>
              <w:rPr>
                <w:rFonts w:ascii="Roboto Regular" w:hAnsi="Roboto Regular" w:cs="Arial"/>
                <w:b/>
                <w:sz w:val="20"/>
                <w:szCs w:val="20"/>
              </w:rPr>
            </w:pPr>
            <w:r w:rsidRPr="00C17D91">
              <w:rPr>
                <w:rFonts w:ascii="Roboto Regular" w:hAnsi="Roboto Regular" w:cs="Arial"/>
                <w:b/>
                <w:sz w:val="20"/>
                <w:szCs w:val="20"/>
              </w:rPr>
              <w:t>Means of verification:</w:t>
            </w:r>
          </w:p>
          <w:p w14:paraId="1FD3EE09" w14:textId="77777777" w:rsidR="00197EB9" w:rsidRDefault="00197EB9" w:rsidP="00352AAB">
            <w:pPr>
              <w:pStyle w:val="ListParagraph"/>
              <w:numPr>
                <w:ilvl w:val="1"/>
                <w:numId w:val="11"/>
              </w:numPr>
              <w:rPr>
                <w:rFonts w:ascii="Roboto Regular" w:hAnsi="Roboto Regular" w:cs="Arial"/>
                <w:sz w:val="20"/>
                <w:szCs w:val="20"/>
              </w:rPr>
            </w:pPr>
            <w:r w:rsidRPr="00197EB9">
              <w:rPr>
                <w:rFonts w:ascii="Roboto Regular" w:hAnsi="Roboto Regular" w:cs="Arial"/>
                <w:sz w:val="20"/>
                <w:szCs w:val="20"/>
              </w:rPr>
              <w:t>Information in PIC Circular</w:t>
            </w:r>
            <w:r>
              <w:rPr>
                <w:rFonts w:ascii="Roboto Regular" w:hAnsi="Roboto Regular" w:cs="Arial"/>
                <w:sz w:val="20"/>
                <w:szCs w:val="20"/>
              </w:rPr>
              <w:t>;</w:t>
            </w:r>
          </w:p>
          <w:p w14:paraId="7942B24A" w14:textId="4EC2BCDB" w:rsidR="00197EB9" w:rsidRPr="00197EB9" w:rsidRDefault="00197EB9" w:rsidP="00352AAB">
            <w:pPr>
              <w:pStyle w:val="ListParagraph"/>
              <w:numPr>
                <w:ilvl w:val="1"/>
                <w:numId w:val="11"/>
              </w:numPr>
              <w:rPr>
                <w:rFonts w:ascii="Roboto Regular" w:hAnsi="Roboto Regular" w:cs="Arial"/>
                <w:sz w:val="20"/>
                <w:szCs w:val="20"/>
              </w:rPr>
            </w:pPr>
            <w:r w:rsidRPr="00197EB9">
              <w:rPr>
                <w:rFonts w:ascii="Roboto Regular" w:hAnsi="Roboto Regular" w:cs="Arial"/>
                <w:sz w:val="20"/>
                <w:szCs w:val="20"/>
              </w:rPr>
              <w:t>Reports on alternatives posted under country profile</w:t>
            </w:r>
          </w:p>
        </w:tc>
      </w:tr>
      <w:tr w:rsidR="00590577" w14:paraId="069E3186" w14:textId="77777777" w:rsidTr="00590577">
        <w:trPr>
          <w:trHeight w:val="227"/>
        </w:trPr>
        <w:tc>
          <w:tcPr>
            <w:tcW w:w="9923" w:type="dxa"/>
            <w:gridSpan w:val="7"/>
            <w:tcBorders>
              <w:top w:val="single" w:sz="4" w:space="0" w:color="000000" w:themeColor="text1"/>
              <w:left w:val="single" w:sz="4" w:space="0" w:color="000000" w:themeColor="text1"/>
              <w:bottom w:val="nil"/>
              <w:right w:val="single" w:sz="4" w:space="0" w:color="000000" w:themeColor="text1"/>
            </w:tcBorders>
            <w:shd w:val="clear" w:color="auto" w:fill="C7E3D8"/>
            <w:vAlign w:val="center"/>
            <w:hideMark/>
          </w:tcPr>
          <w:p w14:paraId="4E1E9746" w14:textId="77777777" w:rsidR="00590577" w:rsidRDefault="00590577">
            <w:pPr>
              <w:rPr>
                <w:rFonts w:ascii="Roboto Regular" w:hAnsi="Roboto Regular" w:cs="Arial"/>
                <w:b/>
                <w:sz w:val="20"/>
                <w:szCs w:val="20"/>
                <w:lang w:val="fr-FR"/>
              </w:rPr>
            </w:pPr>
            <w:r>
              <w:rPr>
                <w:rFonts w:ascii="Roboto Regular" w:hAnsi="Roboto Regular" w:cs="Arial"/>
                <w:b/>
                <w:sz w:val="20"/>
                <w:szCs w:val="20"/>
                <w:lang w:val="fr-FR"/>
              </w:rPr>
              <w:t>IMPLEMENTATION TIMEFRAME</w:t>
            </w:r>
          </w:p>
        </w:tc>
      </w:tr>
      <w:tr w:rsidR="00197EB9" w:rsidRPr="000272A3" w14:paraId="4EC5133E" w14:textId="77777777" w:rsidTr="00197EB9">
        <w:trPr>
          <w:trHeight w:val="454"/>
        </w:trPr>
        <w:tc>
          <w:tcPr>
            <w:tcW w:w="2978" w:type="dxa"/>
            <w:tcBorders>
              <w:top w:val="single" w:sz="4" w:space="0" w:color="auto"/>
              <w:bottom w:val="single" w:sz="4" w:space="0" w:color="auto"/>
            </w:tcBorders>
            <w:vAlign w:val="center"/>
          </w:tcPr>
          <w:p w14:paraId="77098BC4" w14:textId="0430C825" w:rsidR="00197EB9" w:rsidRPr="000272A3" w:rsidRDefault="00197EB9" w:rsidP="00197EB9">
            <w:pPr>
              <w:rPr>
                <w:rFonts w:ascii="Roboto Regular" w:eastAsia="MS Gothic" w:hAnsi="Roboto Regular" w:cs="Arial"/>
                <w:sz w:val="20"/>
                <w:szCs w:val="20"/>
              </w:rPr>
            </w:pPr>
            <w:r w:rsidRPr="000272A3">
              <w:rPr>
                <w:rFonts w:ascii="Roboto Regular" w:eastAsia="MS Gothic" w:hAnsi="Roboto Regular" w:cs="Arial"/>
                <w:sz w:val="20"/>
                <w:szCs w:val="20"/>
              </w:rPr>
              <w:t xml:space="preserve">Project start date: </w:t>
            </w:r>
            <w:r>
              <w:rPr>
                <w:rFonts w:ascii="Roboto Regular" w:eastAsia="MS Gothic" w:hAnsi="Roboto Regular" w:cs="Arial"/>
                <w:sz w:val="20"/>
                <w:szCs w:val="20"/>
              </w:rPr>
              <w:t>01/2020</w:t>
            </w:r>
          </w:p>
        </w:tc>
        <w:tc>
          <w:tcPr>
            <w:tcW w:w="3478" w:type="dxa"/>
            <w:gridSpan w:val="5"/>
            <w:tcBorders>
              <w:top w:val="single" w:sz="4" w:space="0" w:color="auto"/>
              <w:bottom w:val="single" w:sz="4" w:space="0" w:color="auto"/>
            </w:tcBorders>
            <w:shd w:val="clear" w:color="auto" w:fill="auto"/>
            <w:vAlign w:val="center"/>
          </w:tcPr>
          <w:p w14:paraId="4443DC75" w14:textId="421476FC" w:rsidR="00197EB9" w:rsidRPr="000272A3" w:rsidRDefault="00197EB9" w:rsidP="00197EB9">
            <w:pPr>
              <w:rPr>
                <w:rFonts w:ascii="Roboto Regular" w:eastAsia="MS Gothic" w:hAnsi="Roboto Regular" w:cs="Arial"/>
                <w:sz w:val="20"/>
                <w:szCs w:val="20"/>
              </w:rPr>
            </w:pPr>
            <w:r w:rsidRPr="000272A3">
              <w:rPr>
                <w:rFonts w:ascii="Roboto Regular" w:eastAsia="MS Gothic" w:hAnsi="Roboto Regular" w:cs="Arial"/>
                <w:sz w:val="20"/>
                <w:szCs w:val="20"/>
              </w:rPr>
              <w:t xml:space="preserve">Project completion date: </w:t>
            </w:r>
            <w:r>
              <w:rPr>
                <w:rFonts w:ascii="Roboto Regular" w:eastAsia="MS Gothic" w:hAnsi="Roboto Regular" w:cs="Arial"/>
                <w:sz w:val="20"/>
                <w:szCs w:val="20"/>
              </w:rPr>
              <w:t>12/2021</w:t>
            </w:r>
          </w:p>
        </w:tc>
        <w:tc>
          <w:tcPr>
            <w:tcW w:w="3467" w:type="dxa"/>
            <w:tcBorders>
              <w:top w:val="single" w:sz="4" w:space="0" w:color="auto"/>
              <w:bottom w:val="single" w:sz="4" w:space="0" w:color="auto"/>
            </w:tcBorders>
            <w:shd w:val="clear" w:color="auto" w:fill="auto"/>
            <w:vAlign w:val="center"/>
          </w:tcPr>
          <w:p w14:paraId="7A6D50E3" w14:textId="6B664850" w:rsidR="00197EB9" w:rsidRPr="000272A3" w:rsidRDefault="00197EB9" w:rsidP="00197EB9">
            <w:pPr>
              <w:rPr>
                <w:rFonts w:ascii="Roboto Regular" w:eastAsia="MS Gothic" w:hAnsi="Roboto Regular" w:cs="Arial"/>
                <w:sz w:val="20"/>
                <w:szCs w:val="20"/>
              </w:rPr>
            </w:pPr>
            <w:r w:rsidRPr="000272A3">
              <w:rPr>
                <w:rFonts w:ascii="Roboto Regular" w:eastAsia="MS Gothic" w:hAnsi="Roboto Regular" w:cs="Arial"/>
                <w:sz w:val="20"/>
                <w:szCs w:val="20"/>
              </w:rPr>
              <w:t>Total duration</w:t>
            </w:r>
            <w:r w:rsidRPr="00EB6E23">
              <w:rPr>
                <w:rFonts w:ascii="Roboto Regular" w:eastAsia="MS Gothic" w:hAnsi="Roboto Regular" w:cs="Arial"/>
                <w:sz w:val="20"/>
                <w:szCs w:val="20"/>
              </w:rPr>
              <w:t xml:space="preserve">: </w:t>
            </w:r>
            <w:r w:rsidRPr="00EB6E23">
              <w:rPr>
                <w:rFonts w:ascii="Roboto Regular" w:eastAsia="MS Gothic" w:hAnsi="Roboto Regular" w:cs="Arial"/>
                <w:i/>
                <w:sz w:val="20"/>
                <w:szCs w:val="20"/>
              </w:rPr>
              <w:t>24</w:t>
            </w:r>
            <w:bookmarkStart w:id="0" w:name="_GoBack"/>
            <w:bookmarkEnd w:id="0"/>
            <w:r w:rsidRPr="000272A3">
              <w:rPr>
                <w:rFonts w:ascii="Roboto Regular" w:eastAsia="MS Gothic" w:hAnsi="Roboto Regular" w:cs="Arial"/>
                <w:i/>
                <w:sz w:val="20"/>
                <w:szCs w:val="20"/>
              </w:rPr>
              <w:t xml:space="preserve"> months</w:t>
            </w:r>
          </w:p>
        </w:tc>
      </w:tr>
      <w:tr w:rsidR="00197EB9" w:rsidRPr="000272A3" w14:paraId="422F2A37" w14:textId="77777777" w:rsidTr="0088010B">
        <w:trPr>
          <w:trHeight w:val="227"/>
        </w:trPr>
        <w:tc>
          <w:tcPr>
            <w:tcW w:w="9923" w:type="dxa"/>
            <w:gridSpan w:val="7"/>
            <w:tcBorders>
              <w:bottom w:val="nil"/>
            </w:tcBorders>
            <w:shd w:val="clear" w:color="auto" w:fill="C7E3D8"/>
            <w:vAlign w:val="center"/>
          </w:tcPr>
          <w:p w14:paraId="7980183F" w14:textId="77777777" w:rsidR="00197EB9" w:rsidRPr="000272A3" w:rsidRDefault="00197EB9" w:rsidP="00197EB9">
            <w:pPr>
              <w:rPr>
                <w:rFonts w:ascii="Roboto Regular" w:hAnsi="Roboto Regular" w:cs="Arial"/>
                <w:b/>
                <w:sz w:val="20"/>
                <w:szCs w:val="20"/>
              </w:rPr>
            </w:pPr>
            <w:r w:rsidRPr="000272A3">
              <w:rPr>
                <w:rFonts w:ascii="Roboto Regular" w:hAnsi="Roboto Regular" w:cs="Arial"/>
                <w:b/>
                <w:sz w:val="20"/>
                <w:szCs w:val="20"/>
              </w:rPr>
              <w:t>SOCIO-ECONOMIC ASPECTS</w:t>
            </w:r>
          </w:p>
        </w:tc>
      </w:tr>
      <w:tr w:rsidR="00197EB9" w:rsidRPr="000272A3" w14:paraId="62C25A6A" w14:textId="77777777" w:rsidTr="0088010B">
        <w:trPr>
          <w:trHeight w:val="483"/>
        </w:trPr>
        <w:tc>
          <w:tcPr>
            <w:tcW w:w="9923" w:type="dxa"/>
            <w:gridSpan w:val="7"/>
            <w:tcBorders>
              <w:top w:val="nil"/>
              <w:bottom w:val="single" w:sz="4" w:space="0" w:color="000000" w:themeColor="text1"/>
            </w:tcBorders>
            <w:vAlign w:val="center"/>
          </w:tcPr>
          <w:p w14:paraId="36675AEF" w14:textId="77777777" w:rsidR="009438B8" w:rsidRDefault="009438B8" w:rsidP="00197EB9">
            <w:pPr>
              <w:rPr>
                <w:rFonts w:ascii="Roboto Regular" w:hAnsi="Roboto Regular" w:cs="Arial"/>
                <w:iCs/>
                <w:sz w:val="20"/>
                <w:szCs w:val="20"/>
                <w:lang w:val="en-GB"/>
              </w:rPr>
            </w:pPr>
            <w:r w:rsidRPr="009438B8">
              <w:rPr>
                <w:rFonts w:ascii="Roboto Regular" w:hAnsi="Roboto Regular" w:cs="Arial"/>
                <w:b/>
                <w:iCs/>
                <w:sz w:val="20"/>
                <w:szCs w:val="20"/>
                <w:lang w:val="en-GB"/>
              </w:rPr>
              <w:t>Sustainable Development Goals:</w:t>
            </w:r>
            <w:r w:rsidRPr="009438B8">
              <w:rPr>
                <w:rFonts w:ascii="Roboto Regular" w:hAnsi="Roboto Regular" w:cs="Arial"/>
                <w:iCs/>
                <w:sz w:val="20"/>
                <w:szCs w:val="20"/>
                <w:lang w:val="en-GB"/>
              </w:rPr>
              <w:t xml:space="preserve"> The activities contribute to delivering of the 2030 Agenda on Sustainable Development and relevant sustainable development goals, in particular through promoting healthy lives and wellbeing by environmentally sound management of chemicals and minimizing and ultimately eliminating releases of POPs and related exposure to hazardous chemicals. </w:t>
            </w:r>
          </w:p>
          <w:p w14:paraId="0D75CE7B" w14:textId="77777777" w:rsidR="009438B8" w:rsidRDefault="009438B8" w:rsidP="00197EB9">
            <w:pPr>
              <w:rPr>
                <w:rFonts w:ascii="Roboto Regular" w:hAnsi="Roboto Regular" w:cs="Arial"/>
                <w:iCs/>
                <w:sz w:val="20"/>
                <w:szCs w:val="20"/>
                <w:lang w:val="en-GB"/>
              </w:rPr>
            </w:pPr>
            <w:r w:rsidRPr="009438B8">
              <w:rPr>
                <w:rFonts w:ascii="Roboto Regular" w:hAnsi="Roboto Regular" w:cs="Arial"/>
                <w:b/>
                <w:iCs/>
                <w:sz w:val="20"/>
                <w:szCs w:val="20"/>
                <w:lang w:val="en-GB"/>
              </w:rPr>
              <w:t>Gender mainstreaming:</w:t>
            </w:r>
            <w:r w:rsidRPr="009438B8">
              <w:rPr>
                <w:rFonts w:ascii="Roboto Regular" w:hAnsi="Roboto Regular" w:cs="Arial"/>
                <w:iCs/>
                <w:sz w:val="20"/>
                <w:szCs w:val="20"/>
                <w:lang w:val="en-GB"/>
              </w:rPr>
              <w:t xml:space="preserve"> The activities consider involvement of stakeholders from wide range of groups and take into account gender aspects throughout the planning and implementation phase. The development and implementation of various guidance aims at reducing exposure to hazardous chemicals and thereby contributes to improving the health of vulnerable groups, such as women and children.  </w:t>
            </w:r>
          </w:p>
          <w:p w14:paraId="792D87DE" w14:textId="19D8F468" w:rsidR="00197EB9" w:rsidRPr="000272A3" w:rsidRDefault="009438B8" w:rsidP="009438B8">
            <w:pPr>
              <w:rPr>
                <w:rFonts w:ascii="Roboto Regular" w:hAnsi="Roboto Regular" w:cs="Arial"/>
                <w:b/>
                <w:iCs/>
                <w:sz w:val="20"/>
                <w:szCs w:val="20"/>
                <w:lang w:val="en-GB"/>
              </w:rPr>
            </w:pPr>
            <w:r w:rsidRPr="009438B8">
              <w:rPr>
                <w:rFonts w:ascii="Roboto Regular" w:hAnsi="Roboto Regular" w:cs="Arial"/>
                <w:b/>
                <w:iCs/>
                <w:sz w:val="20"/>
                <w:szCs w:val="20"/>
                <w:lang w:val="en-GB"/>
              </w:rPr>
              <w:t>Integrated Approach:</w:t>
            </w:r>
            <w:r w:rsidRPr="009438B8">
              <w:rPr>
                <w:rFonts w:ascii="Roboto Regular" w:hAnsi="Roboto Regular" w:cs="Arial"/>
                <w:iCs/>
                <w:sz w:val="20"/>
                <w:szCs w:val="20"/>
                <w:lang w:val="en-GB"/>
              </w:rPr>
              <w:t xml:space="preserve"> The activities contribute to the implementation of the integrated approach to addressing the financing of the sound management of chemicals and wastes in particular through enhancing industry’s involvement in information gathering and developing guidance and reports, mainstreaming chemicals and waste issues at the regional and national levels</w:t>
            </w:r>
            <w:r>
              <w:rPr>
                <w:rFonts w:ascii="Roboto Regular" w:hAnsi="Roboto Regular" w:cs="Arial"/>
                <w:iCs/>
                <w:sz w:val="20"/>
                <w:szCs w:val="20"/>
                <w:lang w:val="en-GB"/>
              </w:rPr>
              <w:t>.</w:t>
            </w:r>
            <w:r w:rsidR="00197EB9" w:rsidRPr="00E7296F">
              <w:rPr>
                <w:rFonts w:ascii="Roboto Regular" w:hAnsi="Roboto Regular" w:cs="Arial"/>
                <w:b/>
                <w:iCs/>
                <w:sz w:val="20"/>
                <w:szCs w:val="20"/>
                <w:lang w:val="en-GB"/>
              </w:rPr>
              <w:t xml:space="preserve"> </w:t>
            </w:r>
          </w:p>
        </w:tc>
      </w:tr>
      <w:tr w:rsidR="00197EB9" w:rsidRPr="000272A3" w14:paraId="67C7839F" w14:textId="77777777" w:rsidTr="0088010B">
        <w:trPr>
          <w:trHeight w:val="227"/>
        </w:trPr>
        <w:tc>
          <w:tcPr>
            <w:tcW w:w="9923" w:type="dxa"/>
            <w:gridSpan w:val="7"/>
            <w:tcBorders>
              <w:bottom w:val="nil"/>
            </w:tcBorders>
            <w:shd w:val="clear" w:color="auto" w:fill="C7E3D8"/>
            <w:vAlign w:val="center"/>
          </w:tcPr>
          <w:p w14:paraId="55137DA2" w14:textId="77777777" w:rsidR="00197EB9" w:rsidRPr="000272A3" w:rsidRDefault="00197EB9" w:rsidP="00197EB9">
            <w:pPr>
              <w:rPr>
                <w:rFonts w:ascii="Roboto Regular" w:hAnsi="Roboto Regular" w:cs="Arial"/>
                <w:b/>
                <w:sz w:val="20"/>
                <w:szCs w:val="20"/>
              </w:rPr>
            </w:pPr>
            <w:r w:rsidRPr="000272A3">
              <w:rPr>
                <w:rFonts w:ascii="Roboto Regular" w:hAnsi="Roboto Regular" w:cs="Arial"/>
                <w:b/>
                <w:sz w:val="20"/>
                <w:szCs w:val="20"/>
              </w:rPr>
              <w:t>PARTNERS</w:t>
            </w:r>
          </w:p>
        </w:tc>
      </w:tr>
      <w:tr w:rsidR="00197EB9" w:rsidRPr="000272A3" w14:paraId="6DEED4B3" w14:textId="77777777" w:rsidTr="0088010B">
        <w:trPr>
          <w:trHeight w:val="586"/>
        </w:trPr>
        <w:tc>
          <w:tcPr>
            <w:tcW w:w="9923" w:type="dxa"/>
            <w:gridSpan w:val="7"/>
            <w:tcBorders>
              <w:top w:val="nil"/>
              <w:bottom w:val="single" w:sz="2" w:space="0" w:color="000000" w:themeColor="text1"/>
            </w:tcBorders>
            <w:vAlign w:val="center"/>
          </w:tcPr>
          <w:p w14:paraId="6C114772" w14:textId="660F1C11" w:rsidR="00197EB9" w:rsidRPr="009438B8" w:rsidRDefault="009438B8" w:rsidP="00197EB9">
            <w:pPr>
              <w:rPr>
                <w:rFonts w:ascii="Roboto Regular" w:hAnsi="Roboto Regular" w:cs="Arial"/>
                <w:sz w:val="20"/>
                <w:szCs w:val="20"/>
              </w:rPr>
            </w:pPr>
            <w:r w:rsidRPr="009438B8">
              <w:rPr>
                <w:rFonts w:ascii="Roboto Regular" w:hAnsi="Roboto Regular" w:cs="Arial"/>
                <w:sz w:val="20"/>
                <w:szCs w:val="20"/>
              </w:rPr>
              <w:t xml:space="preserve">WHO, UNEP Chemicals and Waste Branch, FAO regional, </w:t>
            </w:r>
            <w:proofErr w:type="spellStart"/>
            <w:r w:rsidRPr="009438B8">
              <w:rPr>
                <w:rFonts w:ascii="Roboto Regular" w:hAnsi="Roboto Regular" w:cs="Arial"/>
                <w:sz w:val="20"/>
                <w:szCs w:val="20"/>
              </w:rPr>
              <w:t>subregional</w:t>
            </w:r>
            <w:proofErr w:type="spellEnd"/>
            <w:r w:rsidRPr="009438B8">
              <w:rPr>
                <w:rFonts w:ascii="Roboto Regular" w:hAnsi="Roboto Regular" w:cs="Arial"/>
                <w:sz w:val="20"/>
                <w:szCs w:val="20"/>
              </w:rPr>
              <w:t xml:space="preserve"> and country offices, FAO pesticide management division, Regional </w:t>
            </w:r>
            <w:proofErr w:type="spellStart"/>
            <w:r w:rsidRPr="009438B8">
              <w:rPr>
                <w:rFonts w:ascii="Roboto Regular" w:hAnsi="Roboto Regular" w:cs="Arial"/>
                <w:sz w:val="20"/>
                <w:szCs w:val="20"/>
              </w:rPr>
              <w:t>Centres</w:t>
            </w:r>
            <w:proofErr w:type="spellEnd"/>
            <w:r w:rsidRPr="009438B8">
              <w:rPr>
                <w:rFonts w:ascii="Roboto Regular" w:hAnsi="Roboto Regular" w:cs="Arial"/>
                <w:sz w:val="20"/>
                <w:szCs w:val="20"/>
              </w:rPr>
              <w:t xml:space="preserve"> of the Basel and Stockholm conventions, UNIDO, OECD, NGOs, industry groups</w:t>
            </w:r>
          </w:p>
        </w:tc>
      </w:tr>
      <w:tr w:rsidR="00197EB9" w:rsidRPr="000272A3" w14:paraId="305DCA64" w14:textId="77777777" w:rsidTr="0088010B">
        <w:trPr>
          <w:trHeight w:val="227"/>
        </w:trPr>
        <w:tc>
          <w:tcPr>
            <w:tcW w:w="9923" w:type="dxa"/>
            <w:gridSpan w:val="7"/>
            <w:tcBorders>
              <w:bottom w:val="nil"/>
            </w:tcBorders>
            <w:shd w:val="clear" w:color="auto" w:fill="C7E3D8"/>
            <w:vAlign w:val="center"/>
          </w:tcPr>
          <w:p w14:paraId="7E62D3A1" w14:textId="77777777" w:rsidR="00197EB9" w:rsidRPr="000272A3" w:rsidRDefault="00197EB9" w:rsidP="00197EB9">
            <w:pPr>
              <w:rPr>
                <w:rFonts w:ascii="Roboto Regular" w:hAnsi="Roboto Regular" w:cs="Arial"/>
                <w:b/>
                <w:sz w:val="20"/>
                <w:szCs w:val="20"/>
              </w:rPr>
            </w:pPr>
            <w:r w:rsidRPr="000272A3">
              <w:rPr>
                <w:rFonts w:ascii="Roboto Regular" w:hAnsi="Roboto Regular" w:cs="Arial"/>
                <w:b/>
                <w:sz w:val="20"/>
                <w:szCs w:val="20"/>
                <w:shd w:val="clear" w:color="auto" w:fill="C7E3D8"/>
              </w:rPr>
              <w:t>PROPOSED ACTIVITIES AND BUDGET [USD]</w:t>
            </w:r>
          </w:p>
        </w:tc>
      </w:tr>
      <w:tr w:rsidR="00197EB9" w:rsidRPr="000272A3" w14:paraId="6326EFBD" w14:textId="77777777" w:rsidTr="004446F3">
        <w:trPr>
          <w:trHeight w:val="475"/>
        </w:trPr>
        <w:tc>
          <w:tcPr>
            <w:tcW w:w="5893" w:type="dxa"/>
            <w:gridSpan w:val="5"/>
            <w:tcBorders>
              <w:bottom w:val="single" w:sz="4" w:space="0" w:color="auto"/>
              <w:right w:val="single" w:sz="4" w:space="0" w:color="auto"/>
            </w:tcBorders>
            <w:shd w:val="clear" w:color="auto" w:fill="EAF1DD" w:themeFill="accent3" w:themeFillTint="33"/>
            <w:vAlign w:val="center"/>
          </w:tcPr>
          <w:p w14:paraId="192A1E65" w14:textId="77777777" w:rsidR="00197EB9" w:rsidRPr="000272A3" w:rsidRDefault="00197EB9" w:rsidP="00197EB9">
            <w:pPr>
              <w:jc w:val="center"/>
              <w:rPr>
                <w:rFonts w:ascii="Roboto Regular" w:hAnsi="Roboto Regular" w:cs="Arial"/>
                <w:b/>
                <w:sz w:val="20"/>
                <w:szCs w:val="20"/>
                <w:lang w:val="en-GB"/>
              </w:rPr>
            </w:pPr>
            <w:r w:rsidRPr="000272A3">
              <w:rPr>
                <w:rFonts w:ascii="Roboto Regular" w:hAnsi="Roboto Regular" w:cs="Arial"/>
                <w:b/>
                <w:sz w:val="20"/>
                <w:szCs w:val="20"/>
                <w:lang w:val="en-GB"/>
              </w:rPr>
              <w:t>Activity</w:t>
            </w:r>
          </w:p>
        </w:tc>
        <w:tc>
          <w:tcPr>
            <w:tcW w:w="4030" w:type="dxa"/>
            <w:gridSpan w:val="2"/>
            <w:tcBorders>
              <w:left w:val="single" w:sz="4" w:space="0" w:color="auto"/>
              <w:bottom w:val="single" w:sz="4" w:space="0" w:color="auto"/>
            </w:tcBorders>
            <w:shd w:val="clear" w:color="auto" w:fill="EAF1DD" w:themeFill="accent3" w:themeFillTint="33"/>
            <w:vAlign w:val="center"/>
          </w:tcPr>
          <w:p w14:paraId="30C726C4" w14:textId="77777777" w:rsidR="00197EB9" w:rsidRPr="000272A3" w:rsidRDefault="00197EB9" w:rsidP="00197EB9">
            <w:pPr>
              <w:jc w:val="center"/>
              <w:rPr>
                <w:rFonts w:ascii="Roboto Regular" w:hAnsi="Roboto Regular" w:cs="Arial"/>
                <w:b/>
                <w:sz w:val="20"/>
                <w:szCs w:val="20"/>
                <w:lang w:val="en-GB"/>
              </w:rPr>
            </w:pPr>
            <w:r w:rsidRPr="000272A3">
              <w:rPr>
                <w:rFonts w:ascii="Roboto Regular" w:hAnsi="Roboto Regular" w:cs="Arial"/>
                <w:b/>
                <w:sz w:val="20"/>
                <w:szCs w:val="20"/>
                <w:lang w:val="en-GB"/>
              </w:rPr>
              <w:t>Voluntary budget</w:t>
            </w:r>
          </w:p>
        </w:tc>
      </w:tr>
      <w:tr w:rsidR="009438B8" w:rsidRPr="009438B8" w14:paraId="44BFEB9F" w14:textId="77777777" w:rsidTr="00680724">
        <w:trPr>
          <w:trHeight w:val="260"/>
        </w:trPr>
        <w:tc>
          <w:tcPr>
            <w:tcW w:w="9923" w:type="dxa"/>
            <w:gridSpan w:val="7"/>
            <w:tcBorders>
              <w:top w:val="single" w:sz="4" w:space="0" w:color="auto"/>
              <w:bottom w:val="single" w:sz="4" w:space="0" w:color="auto"/>
            </w:tcBorders>
            <w:vAlign w:val="center"/>
          </w:tcPr>
          <w:p w14:paraId="6ED38C72" w14:textId="16DB0665" w:rsidR="009438B8" w:rsidRPr="009438B8" w:rsidRDefault="009438B8" w:rsidP="009438B8">
            <w:pPr>
              <w:rPr>
                <w:rFonts w:ascii="Roboto Regular" w:hAnsi="Roboto Regular" w:cs="Arial"/>
                <w:b/>
                <w:sz w:val="20"/>
                <w:szCs w:val="20"/>
                <w:lang w:val="en-GB"/>
              </w:rPr>
            </w:pPr>
            <w:r w:rsidRPr="009438B8">
              <w:rPr>
                <w:rFonts w:ascii="Roboto Regular" w:hAnsi="Roboto Regular" w:cs="Arial"/>
                <w:b/>
                <w:sz w:val="20"/>
                <w:szCs w:val="20"/>
                <w:lang w:val="en-GB"/>
              </w:rPr>
              <w:t>15.1 Chemicals management</w:t>
            </w:r>
          </w:p>
        </w:tc>
      </w:tr>
      <w:tr w:rsidR="00197EB9" w:rsidRPr="000272A3" w14:paraId="71E854A6" w14:textId="77777777" w:rsidTr="004446F3">
        <w:trPr>
          <w:trHeight w:val="331"/>
        </w:trPr>
        <w:tc>
          <w:tcPr>
            <w:tcW w:w="5893" w:type="dxa"/>
            <w:gridSpan w:val="5"/>
            <w:tcBorders>
              <w:top w:val="single" w:sz="4" w:space="0" w:color="auto"/>
              <w:bottom w:val="single" w:sz="4" w:space="0" w:color="auto"/>
              <w:right w:val="single" w:sz="4" w:space="0" w:color="auto"/>
            </w:tcBorders>
            <w:vAlign w:val="center"/>
          </w:tcPr>
          <w:p w14:paraId="67C80AE3" w14:textId="202F77A9" w:rsidR="00197EB9" w:rsidRPr="000272A3" w:rsidRDefault="00680724" w:rsidP="00A26F26">
            <w:pPr>
              <w:rPr>
                <w:rFonts w:ascii="Roboto Regular" w:hAnsi="Roboto Regular" w:cs="Arial"/>
                <w:sz w:val="20"/>
                <w:szCs w:val="20"/>
                <w:lang w:val="en-GB"/>
              </w:rPr>
            </w:pPr>
            <w:r w:rsidRPr="00680724">
              <w:rPr>
                <w:rFonts w:ascii="Roboto Regular" w:hAnsi="Roboto Regular" w:cs="Arial"/>
                <w:sz w:val="20"/>
                <w:szCs w:val="20"/>
                <w:lang w:val="en-GB"/>
              </w:rPr>
              <w:t>Training/Meeting/Workshop and travel costs</w:t>
            </w:r>
            <w:r w:rsidR="00A26F26">
              <w:rPr>
                <w:rFonts w:ascii="Roboto Regular" w:hAnsi="Roboto Regular" w:cs="Arial"/>
                <w:sz w:val="20"/>
                <w:szCs w:val="20"/>
                <w:lang w:val="en-GB"/>
              </w:rPr>
              <w:t xml:space="preserve"> to strengthen risk evaluation and capacity to monitor exposure of industrial chemicals.</w:t>
            </w:r>
          </w:p>
        </w:tc>
        <w:tc>
          <w:tcPr>
            <w:tcW w:w="4030" w:type="dxa"/>
            <w:gridSpan w:val="2"/>
            <w:tcBorders>
              <w:top w:val="single" w:sz="4" w:space="0" w:color="auto"/>
              <w:left w:val="single" w:sz="4" w:space="0" w:color="auto"/>
              <w:bottom w:val="single" w:sz="4" w:space="0" w:color="auto"/>
            </w:tcBorders>
            <w:vAlign w:val="center"/>
          </w:tcPr>
          <w:p w14:paraId="2880D7ED" w14:textId="09CC9BA0" w:rsidR="00197EB9" w:rsidRPr="000272A3" w:rsidRDefault="00680724" w:rsidP="00197EB9">
            <w:pPr>
              <w:jc w:val="right"/>
              <w:rPr>
                <w:rFonts w:ascii="Roboto Regular" w:hAnsi="Roboto Regular" w:cs="Arial"/>
                <w:sz w:val="20"/>
                <w:szCs w:val="20"/>
                <w:lang w:val="en-GB"/>
              </w:rPr>
            </w:pPr>
            <w:r>
              <w:rPr>
                <w:rFonts w:ascii="Roboto Regular" w:hAnsi="Roboto Regular" w:cs="Arial"/>
                <w:sz w:val="20"/>
                <w:szCs w:val="20"/>
                <w:lang w:val="en-GB"/>
              </w:rPr>
              <w:t>60</w:t>
            </w:r>
            <w:r w:rsidR="00197EB9">
              <w:rPr>
                <w:rFonts w:ascii="Roboto Regular" w:hAnsi="Roboto Regular" w:cs="Arial"/>
                <w:sz w:val="20"/>
                <w:szCs w:val="20"/>
                <w:lang w:val="en-GB"/>
              </w:rPr>
              <w:t>,000</w:t>
            </w:r>
          </w:p>
        </w:tc>
      </w:tr>
      <w:tr w:rsidR="009438B8" w:rsidRPr="000272A3" w14:paraId="18CD056C" w14:textId="77777777" w:rsidTr="00680724">
        <w:trPr>
          <w:trHeight w:val="215"/>
        </w:trPr>
        <w:tc>
          <w:tcPr>
            <w:tcW w:w="9923" w:type="dxa"/>
            <w:gridSpan w:val="7"/>
            <w:tcBorders>
              <w:top w:val="single" w:sz="4" w:space="0" w:color="auto"/>
              <w:bottom w:val="single" w:sz="4" w:space="0" w:color="auto"/>
            </w:tcBorders>
          </w:tcPr>
          <w:p w14:paraId="08B1671A" w14:textId="40187F69" w:rsidR="009438B8" w:rsidRPr="009438B8" w:rsidRDefault="009438B8" w:rsidP="009438B8">
            <w:pPr>
              <w:rPr>
                <w:rFonts w:ascii="Roboto Regular" w:hAnsi="Roboto Regular" w:cs="Arial"/>
                <w:b/>
                <w:sz w:val="20"/>
                <w:szCs w:val="20"/>
                <w:lang w:val="en-GB"/>
              </w:rPr>
            </w:pPr>
            <w:r w:rsidRPr="009438B8">
              <w:rPr>
                <w:rFonts w:ascii="Roboto Regular" w:hAnsi="Roboto Regular" w:cs="Arial"/>
                <w:b/>
                <w:sz w:val="20"/>
                <w:szCs w:val="20"/>
                <w:lang w:val="en-GB"/>
              </w:rPr>
              <w:t>15.2 Notification of Final Regulatory Actions</w:t>
            </w:r>
          </w:p>
        </w:tc>
      </w:tr>
      <w:tr w:rsidR="009438B8" w:rsidRPr="000272A3" w14:paraId="662361D2" w14:textId="77777777" w:rsidTr="009438B8">
        <w:trPr>
          <w:trHeight w:val="331"/>
        </w:trPr>
        <w:tc>
          <w:tcPr>
            <w:tcW w:w="5893" w:type="dxa"/>
            <w:gridSpan w:val="5"/>
            <w:tcBorders>
              <w:top w:val="single" w:sz="4" w:space="0" w:color="auto"/>
              <w:bottom w:val="single" w:sz="4" w:space="0" w:color="auto"/>
            </w:tcBorders>
          </w:tcPr>
          <w:p w14:paraId="0CFB3ED6" w14:textId="7486266D" w:rsidR="009438B8" w:rsidRPr="009438B8" w:rsidRDefault="00680724" w:rsidP="00345481">
            <w:pPr>
              <w:rPr>
                <w:rFonts w:ascii="Roboto Regular" w:hAnsi="Roboto Regular" w:cs="Arial"/>
                <w:sz w:val="20"/>
                <w:szCs w:val="20"/>
                <w:lang w:val="en-GB"/>
              </w:rPr>
            </w:pPr>
            <w:r w:rsidRPr="00680724">
              <w:rPr>
                <w:rFonts w:ascii="Roboto Regular" w:hAnsi="Roboto Regular" w:cs="Arial"/>
                <w:sz w:val="20"/>
                <w:szCs w:val="20"/>
                <w:lang w:val="en-GB"/>
              </w:rPr>
              <w:t>Training/Meeting/Workshop and travel costs</w:t>
            </w:r>
            <w:r w:rsidR="00A26F26">
              <w:rPr>
                <w:rFonts w:ascii="Roboto Regular" w:hAnsi="Roboto Regular" w:cs="Arial"/>
                <w:sz w:val="20"/>
                <w:szCs w:val="20"/>
                <w:lang w:val="en-GB"/>
              </w:rPr>
              <w:t xml:space="preserve"> </w:t>
            </w:r>
            <w:r w:rsidR="00345481">
              <w:rPr>
                <w:rFonts w:ascii="Roboto Regular" w:hAnsi="Roboto Regular" w:cs="Arial"/>
                <w:sz w:val="20"/>
                <w:szCs w:val="20"/>
                <w:lang w:val="en-GB"/>
              </w:rPr>
              <w:t>to support development, review and update of legal and institutional frameworks and capacity for evaluation of industrial and hazardous formulations.</w:t>
            </w:r>
          </w:p>
        </w:tc>
        <w:tc>
          <w:tcPr>
            <w:tcW w:w="4030" w:type="dxa"/>
            <w:gridSpan w:val="2"/>
            <w:tcBorders>
              <w:top w:val="single" w:sz="4" w:space="0" w:color="auto"/>
              <w:bottom w:val="single" w:sz="4" w:space="0" w:color="auto"/>
            </w:tcBorders>
          </w:tcPr>
          <w:p w14:paraId="562F0D70" w14:textId="5A3EAAC7" w:rsidR="009438B8" w:rsidRPr="009438B8" w:rsidRDefault="00680724" w:rsidP="00680724">
            <w:pPr>
              <w:jc w:val="right"/>
              <w:rPr>
                <w:rFonts w:ascii="Roboto Regular" w:hAnsi="Roboto Regular" w:cs="Arial"/>
                <w:sz w:val="20"/>
                <w:szCs w:val="20"/>
                <w:lang w:val="en-GB"/>
              </w:rPr>
            </w:pPr>
            <w:r>
              <w:rPr>
                <w:rFonts w:ascii="Roboto Regular" w:hAnsi="Roboto Regular" w:cs="Arial"/>
                <w:sz w:val="20"/>
                <w:szCs w:val="20"/>
                <w:lang w:val="en-GB"/>
              </w:rPr>
              <w:t>170,000</w:t>
            </w:r>
          </w:p>
        </w:tc>
      </w:tr>
      <w:tr w:rsidR="009438B8" w:rsidRPr="000272A3" w14:paraId="7F2DA159" w14:textId="77777777" w:rsidTr="00680724">
        <w:trPr>
          <w:trHeight w:val="242"/>
        </w:trPr>
        <w:tc>
          <w:tcPr>
            <w:tcW w:w="9923" w:type="dxa"/>
            <w:gridSpan w:val="7"/>
            <w:tcBorders>
              <w:top w:val="single" w:sz="4" w:space="0" w:color="auto"/>
              <w:bottom w:val="single" w:sz="4" w:space="0" w:color="auto"/>
            </w:tcBorders>
            <w:vAlign w:val="center"/>
          </w:tcPr>
          <w:p w14:paraId="6D3AADE2" w14:textId="2F5670C5" w:rsidR="009438B8" w:rsidRPr="009438B8" w:rsidRDefault="009438B8" w:rsidP="009438B8">
            <w:pPr>
              <w:rPr>
                <w:rFonts w:ascii="Roboto Regular" w:hAnsi="Roboto Regular" w:cs="Arial"/>
                <w:b/>
                <w:sz w:val="20"/>
                <w:szCs w:val="20"/>
                <w:lang w:val="en-GB"/>
              </w:rPr>
            </w:pPr>
            <w:r w:rsidRPr="009438B8">
              <w:rPr>
                <w:rFonts w:ascii="Roboto Regular" w:hAnsi="Roboto Regular" w:cs="Arial"/>
                <w:b/>
                <w:sz w:val="20"/>
                <w:szCs w:val="20"/>
                <w:lang w:val="en-GB"/>
              </w:rPr>
              <w:t>15.3 PIC Procedure</w:t>
            </w:r>
          </w:p>
        </w:tc>
      </w:tr>
      <w:tr w:rsidR="00197EB9" w:rsidRPr="000272A3" w14:paraId="2D4F0BAF" w14:textId="77777777" w:rsidTr="004446F3">
        <w:trPr>
          <w:trHeight w:val="331"/>
        </w:trPr>
        <w:tc>
          <w:tcPr>
            <w:tcW w:w="5893" w:type="dxa"/>
            <w:gridSpan w:val="5"/>
            <w:tcBorders>
              <w:top w:val="single" w:sz="4" w:space="0" w:color="auto"/>
              <w:bottom w:val="single" w:sz="4" w:space="0" w:color="auto"/>
              <w:right w:val="single" w:sz="4" w:space="0" w:color="auto"/>
            </w:tcBorders>
            <w:vAlign w:val="center"/>
          </w:tcPr>
          <w:p w14:paraId="79046780" w14:textId="7F126360" w:rsidR="00197EB9" w:rsidRPr="000272A3" w:rsidRDefault="00680724" w:rsidP="00197EB9">
            <w:pPr>
              <w:rPr>
                <w:rFonts w:ascii="Roboto Regular" w:hAnsi="Roboto Regular" w:cs="Arial"/>
                <w:sz w:val="20"/>
                <w:szCs w:val="20"/>
                <w:lang w:val="en-GB"/>
              </w:rPr>
            </w:pPr>
            <w:r w:rsidRPr="00680724">
              <w:rPr>
                <w:rFonts w:ascii="Roboto Regular" w:hAnsi="Roboto Regular" w:cs="Arial"/>
                <w:sz w:val="20"/>
                <w:szCs w:val="20"/>
                <w:lang w:val="en-GB"/>
              </w:rPr>
              <w:t>Training/Meeting/Workshop and travel costs</w:t>
            </w:r>
            <w:r w:rsidR="00345481">
              <w:rPr>
                <w:rFonts w:ascii="Roboto Regular" w:hAnsi="Roboto Regular" w:cs="Arial"/>
                <w:sz w:val="20"/>
                <w:szCs w:val="20"/>
                <w:lang w:val="en-GB"/>
              </w:rPr>
              <w:t xml:space="preserve"> to support capacity of parties to implement PIC procedure, including import responses and export notifications.</w:t>
            </w:r>
          </w:p>
        </w:tc>
        <w:tc>
          <w:tcPr>
            <w:tcW w:w="4030" w:type="dxa"/>
            <w:gridSpan w:val="2"/>
            <w:tcBorders>
              <w:top w:val="single" w:sz="4" w:space="0" w:color="auto"/>
              <w:left w:val="single" w:sz="4" w:space="0" w:color="auto"/>
            </w:tcBorders>
            <w:vAlign w:val="center"/>
          </w:tcPr>
          <w:p w14:paraId="03249404" w14:textId="2337BFE7" w:rsidR="00197EB9" w:rsidRPr="000272A3" w:rsidRDefault="00680724" w:rsidP="00197EB9">
            <w:pPr>
              <w:jc w:val="right"/>
              <w:rPr>
                <w:rFonts w:ascii="Roboto Regular" w:hAnsi="Roboto Regular" w:cs="Arial"/>
                <w:sz w:val="20"/>
                <w:szCs w:val="20"/>
                <w:lang w:val="en-GB"/>
              </w:rPr>
            </w:pPr>
            <w:r>
              <w:rPr>
                <w:rFonts w:ascii="Roboto Regular" w:hAnsi="Roboto Regular" w:cs="Arial"/>
                <w:sz w:val="20"/>
                <w:szCs w:val="20"/>
                <w:lang w:val="en-GB"/>
              </w:rPr>
              <w:t>250,000</w:t>
            </w:r>
          </w:p>
        </w:tc>
      </w:tr>
      <w:tr w:rsidR="009438B8" w:rsidRPr="000272A3" w14:paraId="3B504D49" w14:textId="77777777" w:rsidTr="00680724">
        <w:trPr>
          <w:trHeight w:val="197"/>
        </w:trPr>
        <w:tc>
          <w:tcPr>
            <w:tcW w:w="9923" w:type="dxa"/>
            <w:gridSpan w:val="7"/>
            <w:tcBorders>
              <w:top w:val="single" w:sz="4" w:space="0" w:color="auto"/>
              <w:bottom w:val="single" w:sz="4" w:space="0" w:color="auto"/>
            </w:tcBorders>
            <w:vAlign w:val="center"/>
          </w:tcPr>
          <w:p w14:paraId="0868E61B" w14:textId="17E02B24" w:rsidR="009438B8" w:rsidRPr="009438B8" w:rsidRDefault="009438B8" w:rsidP="009438B8">
            <w:pPr>
              <w:rPr>
                <w:rFonts w:ascii="Roboto Regular" w:hAnsi="Roboto Regular" w:cs="Arial"/>
                <w:b/>
                <w:sz w:val="20"/>
                <w:szCs w:val="20"/>
                <w:lang w:val="en-GB"/>
              </w:rPr>
            </w:pPr>
            <w:r w:rsidRPr="009438B8">
              <w:rPr>
                <w:rFonts w:ascii="Roboto Regular" w:hAnsi="Roboto Regular" w:cs="Arial"/>
                <w:b/>
                <w:sz w:val="20"/>
                <w:szCs w:val="20"/>
                <w:lang w:val="en-GB"/>
              </w:rPr>
              <w:t>15.4 SHPF and HHPs</w:t>
            </w:r>
          </w:p>
        </w:tc>
      </w:tr>
      <w:tr w:rsidR="00197EB9" w:rsidRPr="000272A3" w14:paraId="2BCF7844" w14:textId="77777777" w:rsidTr="004446F3">
        <w:trPr>
          <w:trHeight w:val="331"/>
        </w:trPr>
        <w:tc>
          <w:tcPr>
            <w:tcW w:w="5893" w:type="dxa"/>
            <w:gridSpan w:val="5"/>
            <w:tcBorders>
              <w:top w:val="single" w:sz="4" w:space="0" w:color="auto"/>
              <w:bottom w:val="single" w:sz="4" w:space="0" w:color="auto"/>
              <w:right w:val="single" w:sz="4" w:space="0" w:color="auto"/>
            </w:tcBorders>
            <w:vAlign w:val="center"/>
          </w:tcPr>
          <w:p w14:paraId="1DB12149" w14:textId="485B6104" w:rsidR="00197EB9" w:rsidRDefault="00680724" w:rsidP="00197EB9">
            <w:pPr>
              <w:rPr>
                <w:rFonts w:ascii="Roboto Regular" w:hAnsi="Roboto Regular" w:cs="Arial"/>
                <w:sz w:val="20"/>
                <w:szCs w:val="20"/>
                <w:lang w:val="en-GB"/>
              </w:rPr>
            </w:pPr>
            <w:r w:rsidRPr="00680724">
              <w:rPr>
                <w:rFonts w:ascii="Roboto Regular" w:hAnsi="Roboto Regular" w:cs="Arial"/>
                <w:sz w:val="20"/>
                <w:szCs w:val="20"/>
                <w:lang w:val="en-GB"/>
              </w:rPr>
              <w:t>Training/Meeting/Workshop and travel costs</w:t>
            </w:r>
            <w:r w:rsidR="00345481">
              <w:rPr>
                <w:rFonts w:ascii="Roboto Regular" w:hAnsi="Roboto Regular" w:cs="Arial"/>
                <w:sz w:val="20"/>
                <w:szCs w:val="20"/>
                <w:lang w:val="en-GB"/>
              </w:rPr>
              <w:t xml:space="preserve"> to provide technical assistance to parties in setting up framework to systematically collect information pursuant to SHPFs.</w:t>
            </w:r>
          </w:p>
        </w:tc>
        <w:tc>
          <w:tcPr>
            <w:tcW w:w="4030" w:type="dxa"/>
            <w:gridSpan w:val="2"/>
            <w:tcBorders>
              <w:top w:val="single" w:sz="4" w:space="0" w:color="auto"/>
              <w:left w:val="single" w:sz="4" w:space="0" w:color="auto"/>
            </w:tcBorders>
            <w:vAlign w:val="center"/>
          </w:tcPr>
          <w:p w14:paraId="2F56B0F5" w14:textId="749F5AE2" w:rsidR="00197EB9" w:rsidRDefault="00680724" w:rsidP="00197EB9">
            <w:pPr>
              <w:jc w:val="right"/>
              <w:rPr>
                <w:rFonts w:ascii="Roboto Regular" w:hAnsi="Roboto Regular" w:cs="Arial"/>
                <w:sz w:val="20"/>
                <w:szCs w:val="20"/>
                <w:lang w:val="en-GB"/>
              </w:rPr>
            </w:pPr>
            <w:r>
              <w:rPr>
                <w:rFonts w:ascii="Roboto Regular" w:hAnsi="Roboto Regular" w:cs="Arial"/>
                <w:sz w:val="20"/>
                <w:szCs w:val="20"/>
                <w:lang w:val="en-GB"/>
              </w:rPr>
              <w:t>6</w:t>
            </w:r>
            <w:r w:rsidR="00197EB9">
              <w:rPr>
                <w:rFonts w:ascii="Roboto Regular" w:hAnsi="Roboto Regular" w:cs="Arial"/>
                <w:sz w:val="20"/>
                <w:szCs w:val="20"/>
                <w:lang w:val="en-GB"/>
              </w:rPr>
              <w:t>20,000</w:t>
            </w:r>
          </w:p>
        </w:tc>
      </w:tr>
      <w:tr w:rsidR="00197EB9" w:rsidRPr="000272A3" w14:paraId="6B5A2D2D" w14:textId="77777777" w:rsidTr="002159C3">
        <w:trPr>
          <w:trHeight w:val="331"/>
        </w:trPr>
        <w:tc>
          <w:tcPr>
            <w:tcW w:w="5893" w:type="dxa"/>
            <w:gridSpan w:val="5"/>
            <w:tcBorders>
              <w:top w:val="single" w:sz="4" w:space="0" w:color="auto"/>
              <w:bottom w:val="single" w:sz="4" w:space="0" w:color="auto"/>
              <w:right w:val="single" w:sz="4" w:space="0" w:color="auto"/>
            </w:tcBorders>
            <w:shd w:val="clear" w:color="auto" w:fill="EAF1DD" w:themeFill="accent3" w:themeFillTint="33"/>
            <w:vAlign w:val="center"/>
          </w:tcPr>
          <w:p w14:paraId="005E231E" w14:textId="77777777" w:rsidR="00197EB9" w:rsidRPr="000272A3" w:rsidRDefault="00197EB9" w:rsidP="00197EB9">
            <w:pPr>
              <w:jc w:val="right"/>
              <w:rPr>
                <w:rFonts w:ascii="Roboto Regular" w:hAnsi="Roboto Regular" w:cs="Arial"/>
                <w:sz w:val="20"/>
                <w:szCs w:val="20"/>
                <w:lang w:val="en-GB"/>
              </w:rPr>
            </w:pPr>
            <w:r w:rsidRPr="000272A3">
              <w:rPr>
                <w:rFonts w:ascii="Roboto Regular" w:hAnsi="Roboto Regular" w:cs="Arial"/>
                <w:b/>
                <w:iCs/>
                <w:sz w:val="20"/>
                <w:szCs w:val="20"/>
                <w:lang w:val="en-GB"/>
              </w:rPr>
              <w:t>DIRECT PROJECT COST OPERATIONAL BUDGET</w:t>
            </w:r>
          </w:p>
        </w:tc>
        <w:tc>
          <w:tcPr>
            <w:tcW w:w="4030" w:type="dxa"/>
            <w:gridSpan w:val="2"/>
            <w:tcBorders>
              <w:top w:val="single" w:sz="4" w:space="0" w:color="auto"/>
              <w:bottom w:val="single" w:sz="4" w:space="0" w:color="auto"/>
            </w:tcBorders>
            <w:shd w:val="clear" w:color="auto" w:fill="EAF1DD" w:themeFill="accent3" w:themeFillTint="33"/>
            <w:vAlign w:val="center"/>
          </w:tcPr>
          <w:p w14:paraId="63C08278" w14:textId="3895F3C6" w:rsidR="00197EB9" w:rsidRPr="000272A3" w:rsidRDefault="00680724" w:rsidP="00197EB9">
            <w:pPr>
              <w:jc w:val="right"/>
              <w:rPr>
                <w:rFonts w:ascii="Roboto Regular" w:hAnsi="Roboto Regular" w:cs="Arial"/>
                <w:sz w:val="20"/>
                <w:szCs w:val="20"/>
                <w:lang w:val="en-GB"/>
              </w:rPr>
            </w:pPr>
            <w:r>
              <w:rPr>
                <w:rFonts w:ascii="Roboto Regular" w:hAnsi="Roboto Regular" w:cs="Arial"/>
                <w:sz w:val="20"/>
                <w:szCs w:val="20"/>
                <w:lang w:val="en-GB"/>
              </w:rPr>
              <w:t>1,100</w:t>
            </w:r>
            <w:r w:rsidR="00197EB9">
              <w:rPr>
                <w:rFonts w:ascii="Roboto Regular" w:hAnsi="Roboto Regular" w:cs="Arial"/>
                <w:sz w:val="20"/>
                <w:szCs w:val="20"/>
                <w:lang w:val="en-GB"/>
              </w:rPr>
              <w:t>,000</w:t>
            </w:r>
          </w:p>
        </w:tc>
      </w:tr>
      <w:tr w:rsidR="00197EB9" w:rsidRPr="000272A3" w14:paraId="4427D892" w14:textId="77777777" w:rsidTr="006C0EAD">
        <w:trPr>
          <w:trHeight w:val="331"/>
        </w:trPr>
        <w:tc>
          <w:tcPr>
            <w:tcW w:w="5893" w:type="dxa"/>
            <w:gridSpan w:val="5"/>
            <w:tcBorders>
              <w:top w:val="single" w:sz="4" w:space="0" w:color="auto"/>
              <w:right w:val="single" w:sz="4" w:space="0" w:color="auto"/>
            </w:tcBorders>
            <w:shd w:val="clear" w:color="auto" w:fill="EAF1DD" w:themeFill="accent3" w:themeFillTint="33"/>
            <w:vAlign w:val="center"/>
          </w:tcPr>
          <w:p w14:paraId="7D8413A6" w14:textId="77777777" w:rsidR="00197EB9" w:rsidRPr="000272A3" w:rsidRDefault="00197EB9" w:rsidP="00197EB9">
            <w:pPr>
              <w:jc w:val="right"/>
              <w:rPr>
                <w:rFonts w:ascii="Roboto Regular" w:hAnsi="Roboto Regular" w:cs="Arial"/>
                <w:sz w:val="20"/>
                <w:szCs w:val="20"/>
                <w:lang w:val="en-GB"/>
              </w:rPr>
            </w:pPr>
            <w:r w:rsidRPr="000272A3">
              <w:rPr>
                <w:rFonts w:ascii="Roboto Regular" w:hAnsi="Roboto Regular" w:cs="Arial"/>
                <w:i/>
                <w:iCs/>
                <w:sz w:val="20"/>
                <w:szCs w:val="20"/>
                <w:lang w:val="en-GB"/>
              </w:rPr>
              <w:t>Programme Support Costs (PSC) 13%</w:t>
            </w:r>
          </w:p>
        </w:tc>
        <w:tc>
          <w:tcPr>
            <w:tcW w:w="4030" w:type="dxa"/>
            <w:gridSpan w:val="2"/>
            <w:tcBorders>
              <w:top w:val="single" w:sz="4" w:space="0" w:color="auto"/>
            </w:tcBorders>
            <w:shd w:val="clear" w:color="auto" w:fill="EAF1DD" w:themeFill="accent3" w:themeFillTint="33"/>
            <w:vAlign w:val="center"/>
          </w:tcPr>
          <w:p w14:paraId="54D68136" w14:textId="725A7A15" w:rsidR="00197EB9" w:rsidRPr="000272A3" w:rsidRDefault="00680724" w:rsidP="00197EB9">
            <w:pPr>
              <w:jc w:val="right"/>
              <w:rPr>
                <w:rFonts w:ascii="Roboto Regular" w:hAnsi="Roboto Regular" w:cs="Arial"/>
                <w:sz w:val="20"/>
                <w:szCs w:val="20"/>
                <w:lang w:val="en-GB"/>
              </w:rPr>
            </w:pPr>
            <w:r>
              <w:rPr>
                <w:rFonts w:ascii="Roboto Regular" w:hAnsi="Roboto Regular" w:cs="Arial"/>
                <w:sz w:val="20"/>
                <w:szCs w:val="20"/>
                <w:lang w:val="en-GB"/>
              </w:rPr>
              <w:t>143,00</w:t>
            </w:r>
          </w:p>
        </w:tc>
      </w:tr>
      <w:tr w:rsidR="00197EB9" w:rsidRPr="000272A3" w14:paraId="48D68208" w14:textId="77777777" w:rsidTr="00E7296F">
        <w:trPr>
          <w:trHeight w:val="331"/>
        </w:trPr>
        <w:tc>
          <w:tcPr>
            <w:tcW w:w="5893" w:type="dxa"/>
            <w:gridSpan w:val="5"/>
            <w:tcBorders>
              <w:top w:val="single" w:sz="4" w:space="0" w:color="auto"/>
              <w:bottom w:val="single" w:sz="4" w:space="0" w:color="auto"/>
              <w:right w:val="single" w:sz="4" w:space="0" w:color="auto"/>
            </w:tcBorders>
            <w:shd w:val="clear" w:color="auto" w:fill="EAF1DD" w:themeFill="accent3" w:themeFillTint="33"/>
            <w:vAlign w:val="center"/>
          </w:tcPr>
          <w:p w14:paraId="47AC3EB7" w14:textId="77777777" w:rsidR="00197EB9" w:rsidRPr="000272A3" w:rsidRDefault="00197EB9" w:rsidP="00197EB9">
            <w:pPr>
              <w:jc w:val="right"/>
              <w:rPr>
                <w:rFonts w:ascii="Roboto Regular" w:hAnsi="Roboto Regular" w:cs="Arial"/>
                <w:sz w:val="20"/>
                <w:szCs w:val="20"/>
                <w:lang w:val="en-GB"/>
              </w:rPr>
            </w:pPr>
            <w:r w:rsidRPr="000272A3">
              <w:rPr>
                <w:rFonts w:ascii="Roboto Regular" w:hAnsi="Roboto Regular" w:cs="Arial"/>
                <w:b/>
                <w:iCs/>
                <w:sz w:val="20"/>
                <w:szCs w:val="20"/>
                <w:lang w:val="en-GB"/>
              </w:rPr>
              <w:t>TOTAL OPERATIONAL BUDGET</w:t>
            </w:r>
          </w:p>
        </w:tc>
        <w:tc>
          <w:tcPr>
            <w:tcW w:w="4030" w:type="dxa"/>
            <w:gridSpan w:val="2"/>
            <w:tcBorders>
              <w:top w:val="single" w:sz="4" w:space="0" w:color="auto"/>
              <w:bottom w:val="single" w:sz="4" w:space="0" w:color="auto"/>
            </w:tcBorders>
            <w:shd w:val="clear" w:color="auto" w:fill="EAF1DD" w:themeFill="accent3" w:themeFillTint="33"/>
            <w:vAlign w:val="center"/>
          </w:tcPr>
          <w:p w14:paraId="27ECF743" w14:textId="0B99144A" w:rsidR="00197EB9" w:rsidRPr="000272A3" w:rsidRDefault="00680724" w:rsidP="00197EB9">
            <w:pPr>
              <w:jc w:val="right"/>
              <w:rPr>
                <w:rFonts w:ascii="Roboto Regular" w:hAnsi="Roboto Regular" w:cs="Arial"/>
                <w:sz w:val="20"/>
                <w:szCs w:val="20"/>
                <w:lang w:val="en-GB"/>
              </w:rPr>
            </w:pPr>
            <w:r>
              <w:rPr>
                <w:rFonts w:ascii="Roboto Regular" w:hAnsi="Roboto Regular" w:cs="Arial"/>
                <w:sz w:val="20"/>
                <w:szCs w:val="20"/>
                <w:lang w:val="en-GB"/>
              </w:rPr>
              <w:t>1,243,000</w:t>
            </w:r>
          </w:p>
        </w:tc>
      </w:tr>
    </w:tbl>
    <w:p w14:paraId="68474BB0" w14:textId="77777777" w:rsidR="000272A3" w:rsidRPr="000272A3" w:rsidRDefault="000272A3" w:rsidP="000272A3">
      <w:pPr>
        <w:ind w:right="-165"/>
        <w:jc w:val="both"/>
        <w:rPr>
          <w:rFonts w:ascii="Roboto Regular" w:hAnsi="Roboto Regular" w:cs="Arial"/>
          <w:b/>
          <w:noProof/>
          <w:sz w:val="20"/>
          <w:szCs w:val="20"/>
          <w:lang w:val="en-GB"/>
        </w:rPr>
      </w:pPr>
    </w:p>
    <w:p w14:paraId="355AFA2E" w14:textId="77777777" w:rsidR="002A4921" w:rsidRPr="000272A3" w:rsidRDefault="002A4921" w:rsidP="000272A3">
      <w:pPr>
        <w:tabs>
          <w:tab w:val="left" w:pos="3104"/>
          <w:tab w:val="center" w:pos="4596"/>
        </w:tabs>
        <w:jc w:val="center"/>
        <w:rPr>
          <w:rFonts w:ascii="Roboto Regular" w:hAnsi="Roboto Regular" w:cs="Times New Roman"/>
          <w:b/>
          <w:noProof/>
          <w:sz w:val="32"/>
          <w:szCs w:val="32"/>
          <w:lang w:val="en-GB"/>
        </w:rPr>
      </w:pPr>
    </w:p>
    <w:sectPr w:rsidR="002A4921" w:rsidRPr="000272A3" w:rsidSect="00ED0469">
      <w:headerReference w:type="default" r:id="rId8"/>
      <w:headerReference w:type="first" r:id="rId9"/>
      <w:pgSz w:w="11906" w:h="16838"/>
      <w:pgMar w:top="-1701" w:right="1276" w:bottom="630" w:left="1440" w:header="567" w:footer="42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E789" w14:textId="77777777" w:rsidR="00903E88" w:rsidRDefault="00903E88" w:rsidP="0031483E">
      <w:r>
        <w:separator/>
      </w:r>
    </w:p>
  </w:endnote>
  <w:endnote w:type="continuationSeparator" w:id="0">
    <w:p w14:paraId="4A4EF388" w14:textId="77777777" w:rsidR="00903E88" w:rsidRDefault="00903E88" w:rsidP="0031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Regular">
    <w:altName w:val="Times New Roman"/>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variable"/>
    <w:sig w:usb0="80000267" w:usb1="00000000" w:usb2="00000000" w:usb3="00000000" w:csb0="000001F7" w:csb1="00000000"/>
  </w:font>
  <w:font w:name="GillSans Light">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BB276" w14:textId="77777777" w:rsidR="00903E88" w:rsidRDefault="00903E88" w:rsidP="0031483E">
      <w:r>
        <w:separator/>
      </w:r>
    </w:p>
  </w:footnote>
  <w:footnote w:type="continuationSeparator" w:id="0">
    <w:p w14:paraId="1D74AA60" w14:textId="77777777" w:rsidR="00903E88" w:rsidRDefault="00903E88" w:rsidP="00314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w:hAnsi="Gill Sans"/>
        <w:spacing w:val="60"/>
      </w:rPr>
      <w:id w:val="2845594"/>
      <w:docPartObj>
        <w:docPartGallery w:val="Page Numbers (Top of Page)"/>
        <w:docPartUnique/>
      </w:docPartObj>
    </w:sdtPr>
    <w:sdtEndPr>
      <w:rPr>
        <w:spacing w:val="0"/>
      </w:rPr>
    </w:sdtEndPr>
    <w:sdtContent>
      <w:p w14:paraId="6B535B5C" w14:textId="6AB29EC1" w:rsidR="009F62DA" w:rsidRPr="009C4724" w:rsidRDefault="009F62DA" w:rsidP="0087699A">
        <w:pPr>
          <w:pStyle w:val="Header"/>
          <w:pBdr>
            <w:bottom w:val="single" w:sz="4" w:space="1" w:color="D9D9D9" w:themeColor="background1" w:themeShade="D9"/>
          </w:pBdr>
          <w:rPr>
            <w:rFonts w:ascii="Gill Sans" w:hAnsi="Gill Sans"/>
          </w:rPr>
        </w:pPr>
        <w:r>
          <w:rPr>
            <w:rFonts w:ascii="Gill Sans" w:hAnsi="Gill Sans"/>
            <w:noProof/>
            <w:color w:val="808080" w:themeColor="background1" w:themeShade="80"/>
            <w:sz w:val="18"/>
          </w:rPr>
          <w:drawing>
            <wp:anchor distT="0" distB="0" distL="114300" distR="114300" simplePos="0" relativeHeight="251661312" behindDoc="0" locked="0" layoutInCell="1" allowOverlap="1" wp14:anchorId="4A8E640F" wp14:editId="53A17382">
              <wp:simplePos x="0" y="0"/>
              <wp:positionH relativeFrom="column">
                <wp:posOffset>-561975</wp:posOffset>
              </wp:positionH>
              <wp:positionV relativeFrom="paragraph">
                <wp:posOffset>-245745</wp:posOffset>
              </wp:positionV>
              <wp:extent cx="6812280" cy="733425"/>
              <wp:effectExtent l="19050" t="0" r="7620" b="0"/>
              <wp:wrapNone/>
              <wp:docPr id="3"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2280" cy="733425"/>
                      </a:xfrm>
                      <a:prstGeom prst="rect">
                        <a:avLst/>
                      </a:prstGeom>
                      <a:noFill/>
                      <a:ln w="9525">
                        <a:noFill/>
                        <a:miter lim="800000"/>
                        <a:headEnd/>
                        <a:tailEnd/>
                      </a:ln>
                    </pic:spPr>
                  </pic:pic>
                </a:graphicData>
              </a:graphic>
            </wp:anchor>
          </w:drawing>
        </w:r>
        <w:r w:rsidRPr="009C4724">
          <w:rPr>
            <w:rFonts w:ascii="Gill Sans" w:hAnsi="Gill Sans"/>
            <w:color w:val="808080" w:themeColor="background1" w:themeShade="80"/>
            <w:sz w:val="18"/>
          </w:rPr>
          <w:t>Secretariat of the Basel, Rotterdam and Stockholm Conventions</w:t>
        </w:r>
        <w:r>
          <w:rPr>
            <w:rFonts w:ascii="Gill Sans" w:hAnsi="Gill Sans"/>
            <w:color w:val="7F7F7F" w:themeColor="background1" w:themeShade="7F"/>
            <w:spacing w:val="60"/>
          </w:rPr>
          <w:t xml:space="preserve">                       </w:t>
        </w:r>
        <w:r w:rsidRPr="009C4724">
          <w:rPr>
            <w:rFonts w:ascii="Gill Sans" w:hAnsi="Gill Sans"/>
            <w:color w:val="7F7F7F" w:themeColor="background1" w:themeShade="7F"/>
            <w:spacing w:val="60"/>
          </w:rPr>
          <w:t xml:space="preserve">   </w:t>
        </w:r>
        <w:r w:rsidRPr="009C4724">
          <w:rPr>
            <w:rFonts w:ascii="Gill Sans" w:hAnsi="Gill Sans"/>
            <w:color w:val="808080" w:themeColor="background1" w:themeShade="80"/>
            <w:sz w:val="18"/>
          </w:rPr>
          <w:t xml:space="preserve">Page | </w:t>
        </w:r>
        <w:r>
          <w:fldChar w:fldCharType="begin"/>
        </w:r>
        <w:r>
          <w:instrText xml:space="preserve"> PAGE   \* MERGEFORMAT </w:instrText>
        </w:r>
        <w:r>
          <w:fldChar w:fldCharType="separate"/>
        </w:r>
        <w:r w:rsidR="00EB6E23" w:rsidRPr="00EB6E23">
          <w:rPr>
            <w:rFonts w:ascii="Gill Sans" w:hAnsi="Gill Sans"/>
            <w:noProof/>
            <w:color w:val="808080" w:themeColor="background1" w:themeShade="80"/>
            <w:sz w:val="18"/>
          </w:rPr>
          <w:t>4</w:t>
        </w:r>
        <w:r>
          <w:rPr>
            <w:rFonts w:ascii="Gill Sans" w:hAnsi="Gill Sans"/>
            <w:noProof/>
            <w:color w:val="808080" w:themeColor="background1" w:themeShade="80"/>
            <w:sz w:val="18"/>
          </w:rPr>
          <w:fldChar w:fldCharType="end"/>
        </w:r>
      </w:p>
    </w:sdtContent>
  </w:sdt>
  <w:p w14:paraId="77E4C4C4" w14:textId="77777777" w:rsidR="009F62DA" w:rsidRPr="005954C1" w:rsidRDefault="009F62DA" w:rsidP="00BA2D62">
    <w:pPr>
      <w:spacing w:line="360" w:lineRule="auto"/>
      <w:rPr>
        <w:rFonts w:ascii="GillSans Light" w:hAnsi="GillSans Light"/>
        <w:b/>
        <w:sz w:val="32"/>
      </w:rPr>
    </w:pPr>
    <w:r>
      <w:rPr>
        <w:rFonts w:ascii="GillSans Light" w:hAnsi="GillSans Light"/>
        <w:b/>
        <w:sz w:val="32"/>
      </w:rPr>
      <w:t>BASEL, ROTTERDAM AND STOCKHOLM</w:t>
    </w:r>
    <w:r>
      <w:rPr>
        <w:rFonts w:ascii="GillSans Light" w:hAnsi="GillSans Light"/>
        <w:sz w:val="32"/>
      </w:rPr>
      <w:t xml:space="preserve"> </w:t>
    </w:r>
    <w:r w:rsidRPr="005954C1">
      <w:rPr>
        <w:rFonts w:ascii="GillSans Light" w:hAnsi="GillSans Light"/>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9F62DA" w14:paraId="0B4383FF" w14:textId="77777777" w:rsidTr="00A649D5">
      <w:tc>
        <w:tcPr>
          <w:tcW w:w="4769" w:type="dxa"/>
          <w:tcBorders>
            <w:top w:val="single" w:sz="4" w:space="0" w:color="auto"/>
            <w:left w:val="nil"/>
            <w:bottom w:val="nil"/>
            <w:right w:val="nil"/>
          </w:tcBorders>
        </w:tcPr>
        <w:p w14:paraId="1E5D8638" w14:textId="77777777" w:rsidR="009F62DA" w:rsidRDefault="009F62D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04F2E54B" w14:textId="77777777" w:rsidR="009F62DA" w:rsidRDefault="009F62DA" w:rsidP="00A649D5">
          <w:pPr>
            <w:rPr>
              <w:rFonts w:ascii="GillSans Light" w:hAnsi="GillSans Light"/>
              <w:lang w:val="it-IT" w:eastAsia="zh-CN"/>
            </w:rPr>
          </w:pPr>
        </w:p>
        <w:p w14:paraId="755324A4" w14:textId="77777777" w:rsidR="009F62DA" w:rsidRDefault="009F62D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11B1A2D7" w14:textId="77777777" w:rsidR="009F62DA" w:rsidRPr="00474B24" w:rsidRDefault="009F62DA" w:rsidP="00A649D5">
          <w:pPr>
            <w:rPr>
              <w:rFonts w:ascii="GillSans Light" w:hAnsi="GillSans Light"/>
              <w:b/>
              <w:sz w:val="14"/>
              <w:lang w:val="en-GB" w:eastAsia="zh-CN"/>
            </w:rPr>
          </w:pPr>
        </w:p>
        <w:p w14:paraId="66C0BDF0" w14:textId="77777777" w:rsidR="009F62DA" w:rsidRPr="00BE0DA3" w:rsidRDefault="009F62DA" w:rsidP="00A649D5">
          <w:pPr>
            <w:rPr>
              <w:rFonts w:ascii="GillSans Light" w:hAnsi="GillSans Light"/>
              <w:lang w:val="en-GB" w:eastAsia="zh-CN"/>
            </w:rPr>
          </w:pPr>
        </w:p>
      </w:tc>
    </w:tr>
  </w:tbl>
  <w:p w14:paraId="382B7F04" w14:textId="77777777" w:rsidR="009F62DA" w:rsidRDefault="009F62DA" w:rsidP="00360BBD">
    <w:pPr>
      <w:spacing w:line="360" w:lineRule="auto"/>
      <w:jc w:val="center"/>
      <w:rPr>
        <w:rFonts w:ascii="GillSans Light" w:hAnsi="GillSans Light"/>
        <w:b/>
        <w:sz w:val="32"/>
      </w:rPr>
    </w:pPr>
  </w:p>
  <w:p w14:paraId="77B48AD3" w14:textId="77777777" w:rsidR="009F62DA" w:rsidRDefault="009F62DA" w:rsidP="00360B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A390" w14:textId="77777777" w:rsidR="009F62DA" w:rsidRDefault="009F62DA" w:rsidP="00C078F9">
    <w:pPr>
      <w:spacing w:line="360" w:lineRule="auto"/>
      <w:rPr>
        <w:rFonts w:ascii="GillSans Light" w:hAnsi="GillSans Light"/>
        <w:b/>
        <w:sz w:val="32"/>
      </w:rPr>
    </w:pPr>
    <w:r>
      <w:rPr>
        <w:rFonts w:ascii="GillSans Light" w:hAnsi="GillSans Light"/>
        <w:b/>
        <w:noProof/>
        <w:sz w:val="32"/>
      </w:rPr>
      <w:drawing>
        <wp:anchor distT="0" distB="0" distL="114300" distR="114300" simplePos="0" relativeHeight="251659264" behindDoc="0" locked="0" layoutInCell="1" allowOverlap="1" wp14:anchorId="73D916D1" wp14:editId="6A4D52E6">
          <wp:simplePos x="0" y="0"/>
          <wp:positionH relativeFrom="column">
            <wp:posOffset>-513213</wp:posOffset>
          </wp:positionH>
          <wp:positionV relativeFrom="paragraph">
            <wp:posOffset>-284982</wp:posOffset>
          </wp:positionV>
          <wp:extent cx="6811655" cy="736979"/>
          <wp:effectExtent l="19050" t="0" r="8245" b="0"/>
          <wp:wrapNone/>
          <wp:docPr id="5" name="Picture 4" descr="https://fbcdn-sphotos-h-a.akamaihd.net/hphotos-ak-xpf1/v/t35.0-12/10752531_10205346056193801_1711311173_o.jpg?oh=dd2ff2f350eeac45d7616a5db9a688da&amp;oe=5469255B&amp;__gda__=1416172362_a27d932ef064c42862be9039dd26d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5.0-12/10752531_10205346056193801_1711311173_o.jpg?oh=dd2ff2f350eeac45d7616a5db9a688da&amp;oe=5469255B&amp;__gda__=1416172362_a27d932ef064c42862be9039dd26d319"/>
                  <pic:cNvPicPr>
                    <a:picLocks noChangeAspect="1" noChangeArrowheads="1"/>
                  </pic:cNvPicPr>
                </pic:nvPicPr>
                <pic:blipFill>
                  <a:blip r:embed="rId1"/>
                  <a:srcRect/>
                  <a:stretch>
                    <a:fillRect/>
                  </a:stretch>
                </pic:blipFill>
                <pic:spPr bwMode="auto">
                  <a:xfrm>
                    <a:off x="0" y="0"/>
                    <a:ext cx="6811655" cy="736979"/>
                  </a:xfrm>
                  <a:prstGeom prst="rect">
                    <a:avLst/>
                  </a:prstGeom>
                  <a:noFill/>
                  <a:ln w="9525">
                    <a:noFill/>
                    <a:miter lim="800000"/>
                    <a:headEnd/>
                    <a:tailEnd/>
                  </a:ln>
                </pic:spPr>
              </pic:pic>
            </a:graphicData>
          </a:graphic>
        </wp:anchor>
      </w:drawing>
    </w:r>
  </w:p>
  <w:p w14:paraId="2D56B3EA" w14:textId="77777777" w:rsidR="009F62DA" w:rsidRPr="00C078F9" w:rsidRDefault="009F62DA" w:rsidP="00C078F9">
    <w:pPr>
      <w:spacing w:line="360" w:lineRule="auto"/>
      <w:rPr>
        <w:rFonts w:ascii="GillSans Light" w:hAnsi="GillSans Light"/>
        <w:b/>
        <w:sz w:val="20"/>
        <w:szCs w:val="20"/>
      </w:rPr>
    </w:pPr>
  </w:p>
  <w:p w14:paraId="7240E15C" w14:textId="77777777" w:rsidR="009F62DA" w:rsidRPr="00526113" w:rsidRDefault="009F62DA" w:rsidP="00360BBD">
    <w:pPr>
      <w:spacing w:line="360" w:lineRule="auto"/>
      <w:jc w:val="center"/>
      <w:rPr>
        <w:rFonts w:ascii="Roboto Regular" w:hAnsi="Roboto Regular"/>
        <w:b/>
        <w:sz w:val="32"/>
      </w:rPr>
    </w:pPr>
    <w:r w:rsidRPr="00526113">
      <w:rPr>
        <w:rFonts w:ascii="Roboto Regular" w:hAnsi="Roboto Regular"/>
        <w:b/>
        <w:sz w:val="32"/>
      </w:rPr>
      <w:t>BASEL, ROTTERDAM AND STOCKHOLM</w:t>
    </w:r>
    <w:r w:rsidRPr="00526113">
      <w:rPr>
        <w:rFonts w:ascii="Roboto Regular" w:hAnsi="Roboto Regular"/>
        <w:sz w:val="32"/>
      </w:rPr>
      <w:t xml:space="preserve"> </w:t>
    </w:r>
    <w:r w:rsidRPr="00526113">
      <w:rPr>
        <w:rFonts w:ascii="Roboto Regular" w:hAnsi="Roboto Regular"/>
        <w:b/>
        <w:sz w:val="32"/>
      </w:rPr>
      <w:t>CONVENTIONS</w:t>
    </w:r>
  </w:p>
  <w:tbl>
    <w:tblPr>
      <w:tblW w:w="1043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firstRow="1" w:lastRow="1" w:firstColumn="1" w:lastColumn="1" w:noHBand="0" w:noVBand="0"/>
    </w:tblPr>
    <w:tblGrid>
      <w:gridCol w:w="4769"/>
      <w:gridCol w:w="3119"/>
      <w:gridCol w:w="2551"/>
    </w:tblGrid>
    <w:tr w:rsidR="009F62DA" w14:paraId="71D76310" w14:textId="77777777" w:rsidTr="00A649D5">
      <w:tc>
        <w:tcPr>
          <w:tcW w:w="4769" w:type="dxa"/>
          <w:tcBorders>
            <w:top w:val="single" w:sz="4" w:space="0" w:color="auto"/>
            <w:left w:val="nil"/>
            <w:bottom w:val="nil"/>
            <w:right w:val="nil"/>
          </w:tcBorders>
        </w:tcPr>
        <w:p w14:paraId="3E127FF5" w14:textId="77777777" w:rsidR="009F62DA" w:rsidRDefault="009F62DA" w:rsidP="00A649D5">
          <w:pPr>
            <w:pStyle w:val="Header"/>
            <w:rPr>
              <w:rFonts w:ascii="GillSans Light" w:hAnsi="GillSans Light"/>
              <w:lang w:val="en-GB" w:eastAsia="zh-CN"/>
            </w:rPr>
          </w:pPr>
        </w:p>
      </w:tc>
      <w:tc>
        <w:tcPr>
          <w:tcW w:w="3119" w:type="dxa"/>
          <w:tcBorders>
            <w:top w:val="single" w:sz="4" w:space="0" w:color="auto"/>
            <w:left w:val="nil"/>
            <w:bottom w:val="nil"/>
            <w:right w:val="nil"/>
          </w:tcBorders>
        </w:tcPr>
        <w:p w14:paraId="66C3A574" w14:textId="77777777" w:rsidR="009F62DA" w:rsidRDefault="009F62DA" w:rsidP="00A649D5">
          <w:pPr>
            <w:rPr>
              <w:rFonts w:ascii="GillSans Light" w:hAnsi="GillSans Light"/>
              <w:lang w:val="it-IT" w:eastAsia="zh-CN"/>
            </w:rPr>
          </w:pPr>
        </w:p>
        <w:p w14:paraId="7AAF4FF8" w14:textId="77777777" w:rsidR="009F62DA" w:rsidRDefault="009F62DA" w:rsidP="00A649D5">
          <w:pPr>
            <w:pStyle w:val="Header"/>
            <w:rPr>
              <w:rFonts w:ascii="GillSans Light" w:hAnsi="GillSans Light"/>
              <w:lang w:val="it-IT" w:eastAsia="zh-CN"/>
            </w:rPr>
          </w:pPr>
        </w:p>
      </w:tc>
      <w:tc>
        <w:tcPr>
          <w:tcW w:w="2551" w:type="dxa"/>
          <w:tcBorders>
            <w:top w:val="single" w:sz="4" w:space="0" w:color="auto"/>
            <w:left w:val="nil"/>
            <w:bottom w:val="nil"/>
            <w:right w:val="nil"/>
          </w:tcBorders>
        </w:tcPr>
        <w:p w14:paraId="329BCE76" w14:textId="77777777" w:rsidR="009F62DA" w:rsidRPr="00474B24" w:rsidRDefault="009F62DA" w:rsidP="00A649D5">
          <w:pPr>
            <w:rPr>
              <w:rFonts w:ascii="GillSans Light" w:hAnsi="GillSans Light"/>
              <w:b/>
              <w:sz w:val="14"/>
              <w:lang w:val="en-GB" w:eastAsia="zh-CN"/>
            </w:rPr>
          </w:pPr>
        </w:p>
        <w:p w14:paraId="1E4C57F7" w14:textId="77777777" w:rsidR="009F62DA" w:rsidRPr="00BE0DA3" w:rsidRDefault="009F62DA" w:rsidP="00A649D5">
          <w:pPr>
            <w:rPr>
              <w:rFonts w:ascii="GillSans Light" w:hAnsi="GillSans Light"/>
              <w:lang w:val="en-GB" w:eastAsia="zh-CN"/>
            </w:rPr>
          </w:pPr>
        </w:p>
      </w:tc>
    </w:tr>
  </w:tbl>
  <w:p w14:paraId="6F004FD3" w14:textId="77777777" w:rsidR="009F62DA" w:rsidRDefault="009F62DA">
    <w:pPr>
      <w:pStyle w:val="Header"/>
    </w:pPr>
  </w:p>
  <w:p w14:paraId="7A034AF5" w14:textId="77777777" w:rsidR="009F62DA" w:rsidRPr="00BE0DA3" w:rsidRDefault="009F62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3A"/>
    <w:multiLevelType w:val="hybridMultilevel"/>
    <w:tmpl w:val="6A0CD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146C1"/>
    <w:multiLevelType w:val="hybridMultilevel"/>
    <w:tmpl w:val="8A963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113A7"/>
    <w:multiLevelType w:val="multilevel"/>
    <w:tmpl w:val="81E2376E"/>
    <w:lvl w:ilvl="0">
      <w:start w:val="1"/>
      <w:numFmt w:val="decimal"/>
      <w:pStyle w:val="Normalnumber"/>
      <w:lvlText w:val="%1."/>
      <w:lvlJc w:val="left"/>
      <w:pPr>
        <w:tabs>
          <w:tab w:val="num" w:pos="-680"/>
        </w:tabs>
        <w:ind w:left="0" w:firstLine="0"/>
      </w:pPr>
      <w:rPr>
        <w:rFonts w:hint="default"/>
        <w:lang w:val="en-GB"/>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4962777A"/>
    <w:multiLevelType w:val="hybridMultilevel"/>
    <w:tmpl w:val="EDC8D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E76B41"/>
    <w:multiLevelType w:val="hybridMultilevel"/>
    <w:tmpl w:val="57E08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49738B"/>
    <w:multiLevelType w:val="hybridMultilevel"/>
    <w:tmpl w:val="EB8C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643CB"/>
    <w:multiLevelType w:val="hybridMultilevel"/>
    <w:tmpl w:val="3C169B1E"/>
    <w:lvl w:ilvl="0" w:tplc="0409000F">
      <w:start w:val="1"/>
      <w:numFmt w:val="decimal"/>
      <w:lvlText w:val="%1."/>
      <w:lvlJc w:val="left"/>
      <w:pPr>
        <w:ind w:left="360" w:hanging="360"/>
      </w:pPr>
      <w:rPr>
        <w:rFonts w:hint="default"/>
      </w:rPr>
    </w:lvl>
    <w:lvl w:ilvl="1" w:tplc="59B6F56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5D305A"/>
    <w:multiLevelType w:val="hybridMultilevel"/>
    <w:tmpl w:val="1910BEDE"/>
    <w:lvl w:ilvl="0" w:tplc="0409000F">
      <w:start w:val="1"/>
      <w:numFmt w:val="decimal"/>
      <w:lvlText w:val="%1."/>
      <w:lvlJc w:val="left"/>
      <w:pPr>
        <w:ind w:left="360" w:hanging="360"/>
      </w:pPr>
    </w:lvl>
    <w:lvl w:ilvl="1" w:tplc="F2D46526">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CF3288"/>
    <w:multiLevelType w:val="hybridMultilevel"/>
    <w:tmpl w:val="A5789558"/>
    <w:lvl w:ilvl="0" w:tplc="0409000F">
      <w:start w:val="1"/>
      <w:numFmt w:val="decimal"/>
      <w:lvlText w:val="%1."/>
      <w:lvlJc w:val="left"/>
      <w:pPr>
        <w:ind w:left="360" w:hanging="360"/>
      </w:pPr>
      <w:rPr>
        <w:rFonts w:hint="default"/>
      </w:rPr>
    </w:lvl>
    <w:lvl w:ilvl="1" w:tplc="E6C6B7B6">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4687E"/>
    <w:multiLevelType w:val="hybridMultilevel"/>
    <w:tmpl w:val="981E38C4"/>
    <w:lvl w:ilvl="0" w:tplc="11729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230AB"/>
    <w:multiLevelType w:val="hybridMultilevel"/>
    <w:tmpl w:val="31201ED8"/>
    <w:lvl w:ilvl="0" w:tplc="0409000F">
      <w:start w:val="1"/>
      <w:numFmt w:val="decimal"/>
      <w:lvlText w:val="%1."/>
      <w:lvlJc w:val="left"/>
      <w:pPr>
        <w:ind w:left="360" w:hanging="360"/>
      </w:pPr>
      <w:rPr>
        <w:rFonts w:hint="default"/>
      </w:rPr>
    </w:lvl>
    <w:lvl w:ilvl="1" w:tplc="A39AEE00">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4C5906"/>
    <w:multiLevelType w:val="hybridMultilevel"/>
    <w:tmpl w:val="F4340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9"/>
  </w:num>
  <w:num w:numId="5">
    <w:abstractNumId w:val="3"/>
  </w:num>
  <w:num w:numId="6">
    <w:abstractNumId w:val="11"/>
  </w:num>
  <w:num w:numId="7">
    <w:abstractNumId w:val="4"/>
  </w:num>
  <w:num w:numId="8">
    <w:abstractNumId w:val="8"/>
  </w:num>
  <w:num w:numId="9">
    <w:abstractNumId w:val="1"/>
  </w:num>
  <w:num w:numId="10">
    <w:abstractNumId w:val="0"/>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16"/>
    <w:rsid w:val="00000A6C"/>
    <w:rsid w:val="00001A69"/>
    <w:rsid w:val="00002824"/>
    <w:rsid w:val="00004DBA"/>
    <w:rsid w:val="00006BC5"/>
    <w:rsid w:val="0000791C"/>
    <w:rsid w:val="000104C0"/>
    <w:rsid w:val="00010DCC"/>
    <w:rsid w:val="00012361"/>
    <w:rsid w:val="00016F71"/>
    <w:rsid w:val="000171F2"/>
    <w:rsid w:val="00017D06"/>
    <w:rsid w:val="00023FA9"/>
    <w:rsid w:val="000272A3"/>
    <w:rsid w:val="000275F6"/>
    <w:rsid w:val="00027DA3"/>
    <w:rsid w:val="00030AC5"/>
    <w:rsid w:val="0003259E"/>
    <w:rsid w:val="000328CE"/>
    <w:rsid w:val="000341CE"/>
    <w:rsid w:val="00035D1F"/>
    <w:rsid w:val="00035E01"/>
    <w:rsid w:val="0004131F"/>
    <w:rsid w:val="000425A8"/>
    <w:rsid w:val="00047531"/>
    <w:rsid w:val="00052C1C"/>
    <w:rsid w:val="00060EE7"/>
    <w:rsid w:val="00061BDC"/>
    <w:rsid w:val="00065C81"/>
    <w:rsid w:val="00071779"/>
    <w:rsid w:val="00075182"/>
    <w:rsid w:val="00075BFF"/>
    <w:rsid w:val="00082101"/>
    <w:rsid w:val="00082592"/>
    <w:rsid w:val="00084B39"/>
    <w:rsid w:val="00084C49"/>
    <w:rsid w:val="00086E82"/>
    <w:rsid w:val="00087CBB"/>
    <w:rsid w:val="000911BF"/>
    <w:rsid w:val="000A150B"/>
    <w:rsid w:val="000A3B8E"/>
    <w:rsid w:val="000A4832"/>
    <w:rsid w:val="000B521F"/>
    <w:rsid w:val="000B5AC2"/>
    <w:rsid w:val="000B67F8"/>
    <w:rsid w:val="000C0F62"/>
    <w:rsid w:val="000C3DDA"/>
    <w:rsid w:val="000C41F9"/>
    <w:rsid w:val="000C57D3"/>
    <w:rsid w:val="000C7592"/>
    <w:rsid w:val="000D14AC"/>
    <w:rsid w:val="000D28B4"/>
    <w:rsid w:val="000D7821"/>
    <w:rsid w:val="000D7D0A"/>
    <w:rsid w:val="000E7696"/>
    <w:rsid w:val="000F4440"/>
    <w:rsid w:val="000F78E8"/>
    <w:rsid w:val="001027F2"/>
    <w:rsid w:val="00104C86"/>
    <w:rsid w:val="00106E55"/>
    <w:rsid w:val="0011529B"/>
    <w:rsid w:val="00117AF2"/>
    <w:rsid w:val="00135BEB"/>
    <w:rsid w:val="00135DA0"/>
    <w:rsid w:val="00136ACA"/>
    <w:rsid w:val="001405E5"/>
    <w:rsid w:val="00140A73"/>
    <w:rsid w:val="00144055"/>
    <w:rsid w:val="001507EF"/>
    <w:rsid w:val="001523F8"/>
    <w:rsid w:val="00153161"/>
    <w:rsid w:val="0015568E"/>
    <w:rsid w:val="00155CD6"/>
    <w:rsid w:val="001619B7"/>
    <w:rsid w:val="00162CC5"/>
    <w:rsid w:val="00163DF1"/>
    <w:rsid w:val="00165B2D"/>
    <w:rsid w:val="0016662E"/>
    <w:rsid w:val="00170444"/>
    <w:rsid w:val="00176517"/>
    <w:rsid w:val="00180C6F"/>
    <w:rsid w:val="001833E6"/>
    <w:rsid w:val="00187185"/>
    <w:rsid w:val="001872C5"/>
    <w:rsid w:val="00187599"/>
    <w:rsid w:val="00187E0C"/>
    <w:rsid w:val="0019570B"/>
    <w:rsid w:val="00197EB9"/>
    <w:rsid w:val="001B2FC5"/>
    <w:rsid w:val="001B3CEC"/>
    <w:rsid w:val="001B7844"/>
    <w:rsid w:val="001C1FDB"/>
    <w:rsid w:val="001C3244"/>
    <w:rsid w:val="001C7629"/>
    <w:rsid w:val="001D0328"/>
    <w:rsid w:val="001D0CAF"/>
    <w:rsid w:val="001D1ECD"/>
    <w:rsid w:val="001D301C"/>
    <w:rsid w:val="001D3A41"/>
    <w:rsid w:val="001D6DFD"/>
    <w:rsid w:val="001D79E3"/>
    <w:rsid w:val="001E0672"/>
    <w:rsid w:val="001E0C4B"/>
    <w:rsid w:val="001E52DF"/>
    <w:rsid w:val="001E5790"/>
    <w:rsid w:val="001F49D3"/>
    <w:rsid w:val="001F5494"/>
    <w:rsid w:val="00202C96"/>
    <w:rsid w:val="00207B2A"/>
    <w:rsid w:val="002115F4"/>
    <w:rsid w:val="002119B1"/>
    <w:rsid w:val="00222CD5"/>
    <w:rsid w:val="00225391"/>
    <w:rsid w:val="00231F81"/>
    <w:rsid w:val="00236146"/>
    <w:rsid w:val="0023696B"/>
    <w:rsid w:val="00236BAF"/>
    <w:rsid w:val="00237903"/>
    <w:rsid w:val="00237DBA"/>
    <w:rsid w:val="002410DC"/>
    <w:rsid w:val="002421D2"/>
    <w:rsid w:val="00242E1A"/>
    <w:rsid w:val="00242F9C"/>
    <w:rsid w:val="0024327A"/>
    <w:rsid w:val="0024451D"/>
    <w:rsid w:val="002510E5"/>
    <w:rsid w:val="002534C0"/>
    <w:rsid w:val="00261040"/>
    <w:rsid w:val="00261216"/>
    <w:rsid w:val="0026199F"/>
    <w:rsid w:val="00263BBD"/>
    <w:rsid w:val="00267258"/>
    <w:rsid w:val="00267328"/>
    <w:rsid w:val="00267C5C"/>
    <w:rsid w:val="00270242"/>
    <w:rsid w:val="00270EB5"/>
    <w:rsid w:val="0027422C"/>
    <w:rsid w:val="00283C34"/>
    <w:rsid w:val="002843B0"/>
    <w:rsid w:val="00285476"/>
    <w:rsid w:val="00286032"/>
    <w:rsid w:val="00290304"/>
    <w:rsid w:val="0029070E"/>
    <w:rsid w:val="002916AA"/>
    <w:rsid w:val="00297BC5"/>
    <w:rsid w:val="002A292A"/>
    <w:rsid w:val="002A3511"/>
    <w:rsid w:val="002A4921"/>
    <w:rsid w:val="002B41B4"/>
    <w:rsid w:val="002C05EE"/>
    <w:rsid w:val="002C07C5"/>
    <w:rsid w:val="002C276A"/>
    <w:rsid w:val="002C2A03"/>
    <w:rsid w:val="002D337F"/>
    <w:rsid w:val="002D434F"/>
    <w:rsid w:val="002D4675"/>
    <w:rsid w:val="002D4916"/>
    <w:rsid w:val="002E5F6B"/>
    <w:rsid w:val="002F1B58"/>
    <w:rsid w:val="002F7886"/>
    <w:rsid w:val="002F7ADC"/>
    <w:rsid w:val="00300EB0"/>
    <w:rsid w:val="00304606"/>
    <w:rsid w:val="003126C9"/>
    <w:rsid w:val="0031483E"/>
    <w:rsid w:val="00315405"/>
    <w:rsid w:val="003228F9"/>
    <w:rsid w:val="00323AD7"/>
    <w:rsid w:val="003258C5"/>
    <w:rsid w:val="00345481"/>
    <w:rsid w:val="0035254F"/>
    <w:rsid w:val="00352AAB"/>
    <w:rsid w:val="00353DCC"/>
    <w:rsid w:val="00354C46"/>
    <w:rsid w:val="00354CA5"/>
    <w:rsid w:val="003550C5"/>
    <w:rsid w:val="003559D0"/>
    <w:rsid w:val="0035632D"/>
    <w:rsid w:val="00357F4D"/>
    <w:rsid w:val="00360473"/>
    <w:rsid w:val="00360BBD"/>
    <w:rsid w:val="00364948"/>
    <w:rsid w:val="0037431A"/>
    <w:rsid w:val="003773EA"/>
    <w:rsid w:val="00381E49"/>
    <w:rsid w:val="0038228D"/>
    <w:rsid w:val="00386E27"/>
    <w:rsid w:val="00391126"/>
    <w:rsid w:val="003922DB"/>
    <w:rsid w:val="00393A34"/>
    <w:rsid w:val="003A1678"/>
    <w:rsid w:val="003A4FB1"/>
    <w:rsid w:val="003A5C1A"/>
    <w:rsid w:val="003A5DF5"/>
    <w:rsid w:val="003B06CB"/>
    <w:rsid w:val="003B06D5"/>
    <w:rsid w:val="003B2520"/>
    <w:rsid w:val="003B4D60"/>
    <w:rsid w:val="003B62F5"/>
    <w:rsid w:val="003B77D6"/>
    <w:rsid w:val="003C1F1C"/>
    <w:rsid w:val="003C3D94"/>
    <w:rsid w:val="003C493E"/>
    <w:rsid w:val="003D2377"/>
    <w:rsid w:val="003D260E"/>
    <w:rsid w:val="003D2CF5"/>
    <w:rsid w:val="003D4631"/>
    <w:rsid w:val="003E33E9"/>
    <w:rsid w:val="003E5352"/>
    <w:rsid w:val="003E74CC"/>
    <w:rsid w:val="003F02B3"/>
    <w:rsid w:val="003F09E3"/>
    <w:rsid w:val="003F2A4E"/>
    <w:rsid w:val="003F2E69"/>
    <w:rsid w:val="003F34E8"/>
    <w:rsid w:val="003F3568"/>
    <w:rsid w:val="003F40EE"/>
    <w:rsid w:val="003F7A5A"/>
    <w:rsid w:val="0040226A"/>
    <w:rsid w:val="00404029"/>
    <w:rsid w:val="00406C78"/>
    <w:rsid w:val="004116E5"/>
    <w:rsid w:val="00416066"/>
    <w:rsid w:val="00416A88"/>
    <w:rsid w:val="004209F8"/>
    <w:rsid w:val="00420F8B"/>
    <w:rsid w:val="00423239"/>
    <w:rsid w:val="004237EA"/>
    <w:rsid w:val="00424231"/>
    <w:rsid w:val="0042582C"/>
    <w:rsid w:val="004305A2"/>
    <w:rsid w:val="00432106"/>
    <w:rsid w:val="00432117"/>
    <w:rsid w:val="00433BCE"/>
    <w:rsid w:val="004421DE"/>
    <w:rsid w:val="00443245"/>
    <w:rsid w:val="004446F3"/>
    <w:rsid w:val="00451623"/>
    <w:rsid w:val="00451FA8"/>
    <w:rsid w:val="0045319D"/>
    <w:rsid w:val="004533F3"/>
    <w:rsid w:val="00453F2D"/>
    <w:rsid w:val="00455A56"/>
    <w:rsid w:val="00457154"/>
    <w:rsid w:val="0045734E"/>
    <w:rsid w:val="00457704"/>
    <w:rsid w:val="00465856"/>
    <w:rsid w:val="00470655"/>
    <w:rsid w:val="00472DD0"/>
    <w:rsid w:val="004736AB"/>
    <w:rsid w:val="00474956"/>
    <w:rsid w:val="00474B24"/>
    <w:rsid w:val="004754F3"/>
    <w:rsid w:val="00476543"/>
    <w:rsid w:val="00480525"/>
    <w:rsid w:val="00482FA1"/>
    <w:rsid w:val="00483805"/>
    <w:rsid w:val="004874A1"/>
    <w:rsid w:val="0048759A"/>
    <w:rsid w:val="00490D3D"/>
    <w:rsid w:val="00490DF3"/>
    <w:rsid w:val="00491875"/>
    <w:rsid w:val="00492A89"/>
    <w:rsid w:val="004A0CB9"/>
    <w:rsid w:val="004A288B"/>
    <w:rsid w:val="004A2C3E"/>
    <w:rsid w:val="004A30B3"/>
    <w:rsid w:val="004A4894"/>
    <w:rsid w:val="004A608B"/>
    <w:rsid w:val="004A65BA"/>
    <w:rsid w:val="004A78EA"/>
    <w:rsid w:val="004A7A35"/>
    <w:rsid w:val="004A7AFD"/>
    <w:rsid w:val="004B0D0F"/>
    <w:rsid w:val="004B4009"/>
    <w:rsid w:val="004B79F3"/>
    <w:rsid w:val="004B7D35"/>
    <w:rsid w:val="004C1F38"/>
    <w:rsid w:val="004C664F"/>
    <w:rsid w:val="004C6F0D"/>
    <w:rsid w:val="004C71E7"/>
    <w:rsid w:val="004D0258"/>
    <w:rsid w:val="004D264F"/>
    <w:rsid w:val="004D2703"/>
    <w:rsid w:val="004D2952"/>
    <w:rsid w:val="004D38FC"/>
    <w:rsid w:val="004D3E7A"/>
    <w:rsid w:val="004D687A"/>
    <w:rsid w:val="004D6B4E"/>
    <w:rsid w:val="004D76BE"/>
    <w:rsid w:val="004E0712"/>
    <w:rsid w:val="004E1504"/>
    <w:rsid w:val="004E3268"/>
    <w:rsid w:val="004E52C3"/>
    <w:rsid w:val="004F0DAB"/>
    <w:rsid w:val="004F2A70"/>
    <w:rsid w:val="004F6A6C"/>
    <w:rsid w:val="004F7F3C"/>
    <w:rsid w:val="00502819"/>
    <w:rsid w:val="00507320"/>
    <w:rsid w:val="00507677"/>
    <w:rsid w:val="00507ABC"/>
    <w:rsid w:val="00507FDE"/>
    <w:rsid w:val="0051020D"/>
    <w:rsid w:val="00510CB4"/>
    <w:rsid w:val="005170AE"/>
    <w:rsid w:val="00520358"/>
    <w:rsid w:val="0052338C"/>
    <w:rsid w:val="00523F91"/>
    <w:rsid w:val="0052485E"/>
    <w:rsid w:val="0052524B"/>
    <w:rsid w:val="005257B7"/>
    <w:rsid w:val="00526113"/>
    <w:rsid w:val="00531BD5"/>
    <w:rsid w:val="00534D19"/>
    <w:rsid w:val="00534E1A"/>
    <w:rsid w:val="00542326"/>
    <w:rsid w:val="0054681A"/>
    <w:rsid w:val="0055380A"/>
    <w:rsid w:val="00555CAE"/>
    <w:rsid w:val="0055679B"/>
    <w:rsid w:val="00561CA6"/>
    <w:rsid w:val="00564F86"/>
    <w:rsid w:val="00587009"/>
    <w:rsid w:val="00590577"/>
    <w:rsid w:val="005945C7"/>
    <w:rsid w:val="00595228"/>
    <w:rsid w:val="005954C1"/>
    <w:rsid w:val="005978E6"/>
    <w:rsid w:val="005A5DDB"/>
    <w:rsid w:val="005B07D9"/>
    <w:rsid w:val="005B0A02"/>
    <w:rsid w:val="005B216C"/>
    <w:rsid w:val="005B3C8C"/>
    <w:rsid w:val="005B4DF2"/>
    <w:rsid w:val="005B51A5"/>
    <w:rsid w:val="005B6047"/>
    <w:rsid w:val="005B60EE"/>
    <w:rsid w:val="005C046B"/>
    <w:rsid w:val="005C0E7E"/>
    <w:rsid w:val="005D147A"/>
    <w:rsid w:val="005D2A5C"/>
    <w:rsid w:val="005D641E"/>
    <w:rsid w:val="005D67F9"/>
    <w:rsid w:val="005E4A19"/>
    <w:rsid w:val="005E53A9"/>
    <w:rsid w:val="005F46C4"/>
    <w:rsid w:val="005F6842"/>
    <w:rsid w:val="005F741E"/>
    <w:rsid w:val="00602606"/>
    <w:rsid w:val="0060302F"/>
    <w:rsid w:val="00604378"/>
    <w:rsid w:val="0061154D"/>
    <w:rsid w:val="006119C0"/>
    <w:rsid w:val="00615482"/>
    <w:rsid w:val="006166A1"/>
    <w:rsid w:val="00616DC0"/>
    <w:rsid w:val="00622F0E"/>
    <w:rsid w:val="00624CF2"/>
    <w:rsid w:val="006279E5"/>
    <w:rsid w:val="00627BD7"/>
    <w:rsid w:val="006314AD"/>
    <w:rsid w:val="00633101"/>
    <w:rsid w:val="006410AD"/>
    <w:rsid w:val="00641D2D"/>
    <w:rsid w:val="0064307D"/>
    <w:rsid w:val="00646E4F"/>
    <w:rsid w:val="00650904"/>
    <w:rsid w:val="006522F4"/>
    <w:rsid w:val="00652484"/>
    <w:rsid w:val="00665DCA"/>
    <w:rsid w:val="006718B0"/>
    <w:rsid w:val="00672936"/>
    <w:rsid w:val="0067665E"/>
    <w:rsid w:val="00677C3A"/>
    <w:rsid w:val="00680724"/>
    <w:rsid w:val="00680FFD"/>
    <w:rsid w:val="00685A48"/>
    <w:rsid w:val="00687BB9"/>
    <w:rsid w:val="00687E52"/>
    <w:rsid w:val="006914A6"/>
    <w:rsid w:val="00692798"/>
    <w:rsid w:val="00693872"/>
    <w:rsid w:val="00695667"/>
    <w:rsid w:val="006A26F1"/>
    <w:rsid w:val="006A28F3"/>
    <w:rsid w:val="006A2EF4"/>
    <w:rsid w:val="006A48E3"/>
    <w:rsid w:val="006A6614"/>
    <w:rsid w:val="006B31F8"/>
    <w:rsid w:val="006B7C9B"/>
    <w:rsid w:val="006C1D8C"/>
    <w:rsid w:val="006C1EA2"/>
    <w:rsid w:val="006C45BE"/>
    <w:rsid w:val="006D0AEB"/>
    <w:rsid w:val="006D2669"/>
    <w:rsid w:val="006D6076"/>
    <w:rsid w:val="006E19DC"/>
    <w:rsid w:val="006E745F"/>
    <w:rsid w:val="006E7CDD"/>
    <w:rsid w:val="006F4A1A"/>
    <w:rsid w:val="006F50FB"/>
    <w:rsid w:val="006F52A2"/>
    <w:rsid w:val="006F770A"/>
    <w:rsid w:val="00700E8C"/>
    <w:rsid w:val="00701EB7"/>
    <w:rsid w:val="007036B4"/>
    <w:rsid w:val="0070374D"/>
    <w:rsid w:val="00704737"/>
    <w:rsid w:val="00705E6B"/>
    <w:rsid w:val="007074FA"/>
    <w:rsid w:val="00710AFB"/>
    <w:rsid w:val="0071549A"/>
    <w:rsid w:val="00715683"/>
    <w:rsid w:val="007157A3"/>
    <w:rsid w:val="007177C9"/>
    <w:rsid w:val="007229E6"/>
    <w:rsid w:val="00722EC9"/>
    <w:rsid w:val="00723058"/>
    <w:rsid w:val="007313C6"/>
    <w:rsid w:val="0073570A"/>
    <w:rsid w:val="007406AA"/>
    <w:rsid w:val="007430DF"/>
    <w:rsid w:val="00743E3F"/>
    <w:rsid w:val="007443C9"/>
    <w:rsid w:val="007445E2"/>
    <w:rsid w:val="00745041"/>
    <w:rsid w:val="00750EDF"/>
    <w:rsid w:val="00751141"/>
    <w:rsid w:val="00752F16"/>
    <w:rsid w:val="0075420C"/>
    <w:rsid w:val="00754AC5"/>
    <w:rsid w:val="007558FC"/>
    <w:rsid w:val="0075725E"/>
    <w:rsid w:val="0075744B"/>
    <w:rsid w:val="0076230E"/>
    <w:rsid w:val="007642A1"/>
    <w:rsid w:val="0076560A"/>
    <w:rsid w:val="00771A86"/>
    <w:rsid w:val="0077378B"/>
    <w:rsid w:val="007757A5"/>
    <w:rsid w:val="007758B3"/>
    <w:rsid w:val="007759DC"/>
    <w:rsid w:val="0077618D"/>
    <w:rsid w:val="00781037"/>
    <w:rsid w:val="00783AB7"/>
    <w:rsid w:val="007851BF"/>
    <w:rsid w:val="007863C0"/>
    <w:rsid w:val="0079586F"/>
    <w:rsid w:val="0079718B"/>
    <w:rsid w:val="007A3AAB"/>
    <w:rsid w:val="007A5854"/>
    <w:rsid w:val="007A58AF"/>
    <w:rsid w:val="007B46E1"/>
    <w:rsid w:val="007B48B9"/>
    <w:rsid w:val="007B6DBF"/>
    <w:rsid w:val="007C0075"/>
    <w:rsid w:val="007C1EEE"/>
    <w:rsid w:val="007C2725"/>
    <w:rsid w:val="007C573C"/>
    <w:rsid w:val="007D148D"/>
    <w:rsid w:val="007D3EB3"/>
    <w:rsid w:val="007D49A4"/>
    <w:rsid w:val="007D7038"/>
    <w:rsid w:val="007D7690"/>
    <w:rsid w:val="007E0D15"/>
    <w:rsid w:val="007E15CB"/>
    <w:rsid w:val="007E181C"/>
    <w:rsid w:val="007E30BF"/>
    <w:rsid w:val="007E690B"/>
    <w:rsid w:val="00800194"/>
    <w:rsid w:val="00800FCC"/>
    <w:rsid w:val="00801E41"/>
    <w:rsid w:val="00806FAE"/>
    <w:rsid w:val="008079EF"/>
    <w:rsid w:val="00813CD6"/>
    <w:rsid w:val="0081476C"/>
    <w:rsid w:val="00820649"/>
    <w:rsid w:val="008249B9"/>
    <w:rsid w:val="008253DD"/>
    <w:rsid w:val="00826773"/>
    <w:rsid w:val="00827F2C"/>
    <w:rsid w:val="00831378"/>
    <w:rsid w:val="008328D9"/>
    <w:rsid w:val="008375DB"/>
    <w:rsid w:val="0083774F"/>
    <w:rsid w:val="00840ACB"/>
    <w:rsid w:val="00842F17"/>
    <w:rsid w:val="00844F8D"/>
    <w:rsid w:val="0085319C"/>
    <w:rsid w:val="00853FC7"/>
    <w:rsid w:val="008547AD"/>
    <w:rsid w:val="008571FB"/>
    <w:rsid w:val="00857247"/>
    <w:rsid w:val="00857D54"/>
    <w:rsid w:val="00862AF0"/>
    <w:rsid w:val="008713BA"/>
    <w:rsid w:val="008734E1"/>
    <w:rsid w:val="00874CC5"/>
    <w:rsid w:val="0087699A"/>
    <w:rsid w:val="00881E5A"/>
    <w:rsid w:val="00884A84"/>
    <w:rsid w:val="00887643"/>
    <w:rsid w:val="0088790D"/>
    <w:rsid w:val="00890471"/>
    <w:rsid w:val="00892868"/>
    <w:rsid w:val="0089697D"/>
    <w:rsid w:val="008A1228"/>
    <w:rsid w:val="008A5C0A"/>
    <w:rsid w:val="008A6640"/>
    <w:rsid w:val="008A7676"/>
    <w:rsid w:val="008B4750"/>
    <w:rsid w:val="008B609B"/>
    <w:rsid w:val="008B6D19"/>
    <w:rsid w:val="008B78AF"/>
    <w:rsid w:val="008C1040"/>
    <w:rsid w:val="008C40C2"/>
    <w:rsid w:val="008C4779"/>
    <w:rsid w:val="008C4806"/>
    <w:rsid w:val="008C5B8A"/>
    <w:rsid w:val="008D57BF"/>
    <w:rsid w:val="008D7546"/>
    <w:rsid w:val="008E1150"/>
    <w:rsid w:val="008E3054"/>
    <w:rsid w:val="008E43B1"/>
    <w:rsid w:val="008E501C"/>
    <w:rsid w:val="008E53C5"/>
    <w:rsid w:val="008F7DF3"/>
    <w:rsid w:val="00903E88"/>
    <w:rsid w:val="009077CB"/>
    <w:rsid w:val="00910569"/>
    <w:rsid w:val="009124D6"/>
    <w:rsid w:val="00914D4C"/>
    <w:rsid w:val="009244D6"/>
    <w:rsid w:val="00926FBC"/>
    <w:rsid w:val="009270CB"/>
    <w:rsid w:val="009277DF"/>
    <w:rsid w:val="009332B1"/>
    <w:rsid w:val="009374E7"/>
    <w:rsid w:val="009420F0"/>
    <w:rsid w:val="009438B8"/>
    <w:rsid w:val="009443E6"/>
    <w:rsid w:val="00945D09"/>
    <w:rsid w:val="009467FC"/>
    <w:rsid w:val="009474F6"/>
    <w:rsid w:val="00947EDC"/>
    <w:rsid w:val="0095119E"/>
    <w:rsid w:val="00954B20"/>
    <w:rsid w:val="009630A6"/>
    <w:rsid w:val="00975CD9"/>
    <w:rsid w:val="00977423"/>
    <w:rsid w:val="009822F3"/>
    <w:rsid w:val="009822F9"/>
    <w:rsid w:val="00990B84"/>
    <w:rsid w:val="009913DE"/>
    <w:rsid w:val="00994C29"/>
    <w:rsid w:val="009A0627"/>
    <w:rsid w:val="009A5AD0"/>
    <w:rsid w:val="009A692F"/>
    <w:rsid w:val="009A7C05"/>
    <w:rsid w:val="009A7FC8"/>
    <w:rsid w:val="009B38CA"/>
    <w:rsid w:val="009B4061"/>
    <w:rsid w:val="009B4489"/>
    <w:rsid w:val="009B582D"/>
    <w:rsid w:val="009B6C73"/>
    <w:rsid w:val="009B7FE5"/>
    <w:rsid w:val="009C0341"/>
    <w:rsid w:val="009C3543"/>
    <w:rsid w:val="009C3CD7"/>
    <w:rsid w:val="009C4724"/>
    <w:rsid w:val="009D401D"/>
    <w:rsid w:val="009D4CC6"/>
    <w:rsid w:val="009E387B"/>
    <w:rsid w:val="009E469B"/>
    <w:rsid w:val="009E4E90"/>
    <w:rsid w:val="009E59AA"/>
    <w:rsid w:val="009F62DA"/>
    <w:rsid w:val="009F696B"/>
    <w:rsid w:val="009F6997"/>
    <w:rsid w:val="00A0108D"/>
    <w:rsid w:val="00A020F3"/>
    <w:rsid w:val="00A02569"/>
    <w:rsid w:val="00A0285D"/>
    <w:rsid w:val="00A1032C"/>
    <w:rsid w:val="00A103E2"/>
    <w:rsid w:val="00A123AF"/>
    <w:rsid w:val="00A13A10"/>
    <w:rsid w:val="00A15E6B"/>
    <w:rsid w:val="00A168BB"/>
    <w:rsid w:val="00A16EA2"/>
    <w:rsid w:val="00A1799D"/>
    <w:rsid w:val="00A17C38"/>
    <w:rsid w:val="00A206CA"/>
    <w:rsid w:val="00A207E1"/>
    <w:rsid w:val="00A20DFD"/>
    <w:rsid w:val="00A22087"/>
    <w:rsid w:val="00A22311"/>
    <w:rsid w:val="00A236FF"/>
    <w:rsid w:val="00A26503"/>
    <w:rsid w:val="00A26F26"/>
    <w:rsid w:val="00A30066"/>
    <w:rsid w:val="00A31A6F"/>
    <w:rsid w:val="00A3405A"/>
    <w:rsid w:val="00A34270"/>
    <w:rsid w:val="00A34BF0"/>
    <w:rsid w:val="00A361A2"/>
    <w:rsid w:val="00A44869"/>
    <w:rsid w:val="00A47F0D"/>
    <w:rsid w:val="00A53124"/>
    <w:rsid w:val="00A55B9E"/>
    <w:rsid w:val="00A57305"/>
    <w:rsid w:val="00A605B8"/>
    <w:rsid w:val="00A60645"/>
    <w:rsid w:val="00A63E74"/>
    <w:rsid w:val="00A649D5"/>
    <w:rsid w:val="00A66D92"/>
    <w:rsid w:val="00A70C12"/>
    <w:rsid w:val="00A764B1"/>
    <w:rsid w:val="00A823BE"/>
    <w:rsid w:val="00A86105"/>
    <w:rsid w:val="00A90852"/>
    <w:rsid w:val="00A95A85"/>
    <w:rsid w:val="00A9653B"/>
    <w:rsid w:val="00A973B9"/>
    <w:rsid w:val="00A97FCB"/>
    <w:rsid w:val="00AA5187"/>
    <w:rsid w:val="00AA7636"/>
    <w:rsid w:val="00AB4379"/>
    <w:rsid w:val="00AB5825"/>
    <w:rsid w:val="00AC6AE9"/>
    <w:rsid w:val="00AD57C3"/>
    <w:rsid w:val="00AD72DD"/>
    <w:rsid w:val="00AE068A"/>
    <w:rsid w:val="00AE515F"/>
    <w:rsid w:val="00AF130D"/>
    <w:rsid w:val="00AF484E"/>
    <w:rsid w:val="00AF55BC"/>
    <w:rsid w:val="00B0170E"/>
    <w:rsid w:val="00B05B23"/>
    <w:rsid w:val="00B12884"/>
    <w:rsid w:val="00B15F8A"/>
    <w:rsid w:val="00B20F64"/>
    <w:rsid w:val="00B22C3D"/>
    <w:rsid w:val="00B248A6"/>
    <w:rsid w:val="00B271E5"/>
    <w:rsid w:val="00B319E2"/>
    <w:rsid w:val="00B341A8"/>
    <w:rsid w:val="00B34CB9"/>
    <w:rsid w:val="00B354FC"/>
    <w:rsid w:val="00B35DDA"/>
    <w:rsid w:val="00B37BCA"/>
    <w:rsid w:val="00B51BE9"/>
    <w:rsid w:val="00B5232C"/>
    <w:rsid w:val="00B54617"/>
    <w:rsid w:val="00B564B3"/>
    <w:rsid w:val="00B57A9D"/>
    <w:rsid w:val="00B67037"/>
    <w:rsid w:val="00B676EA"/>
    <w:rsid w:val="00B6793A"/>
    <w:rsid w:val="00B67974"/>
    <w:rsid w:val="00B67ABD"/>
    <w:rsid w:val="00B711D8"/>
    <w:rsid w:val="00B76BD8"/>
    <w:rsid w:val="00B77033"/>
    <w:rsid w:val="00B77C08"/>
    <w:rsid w:val="00B77F9D"/>
    <w:rsid w:val="00B80CC6"/>
    <w:rsid w:val="00B83E98"/>
    <w:rsid w:val="00B84639"/>
    <w:rsid w:val="00B91487"/>
    <w:rsid w:val="00B97CE8"/>
    <w:rsid w:val="00BA2D62"/>
    <w:rsid w:val="00BA44B1"/>
    <w:rsid w:val="00BA6357"/>
    <w:rsid w:val="00BB58D7"/>
    <w:rsid w:val="00BC02AF"/>
    <w:rsid w:val="00BC48BE"/>
    <w:rsid w:val="00BD0AA2"/>
    <w:rsid w:val="00BD247C"/>
    <w:rsid w:val="00BD3B55"/>
    <w:rsid w:val="00BD7685"/>
    <w:rsid w:val="00BE0DA3"/>
    <w:rsid w:val="00BE6880"/>
    <w:rsid w:val="00BE7FCB"/>
    <w:rsid w:val="00BF7DC9"/>
    <w:rsid w:val="00C02811"/>
    <w:rsid w:val="00C048B4"/>
    <w:rsid w:val="00C06AD0"/>
    <w:rsid w:val="00C078F9"/>
    <w:rsid w:val="00C07BFE"/>
    <w:rsid w:val="00C126E1"/>
    <w:rsid w:val="00C164A1"/>
    <w:rsid w:val="00C17A77"/>
    <w:rsid w:val="00C17D91"/>
    <w:rsid w:val="00C24B7E"/>
    <w:rsid w:val="00C25821"/>
    <w:rsid w:val="00C25C6A"/>
    <w:rsid w:val="00C26A27"/>
    <w:rsid w:val="00C312FE"/>
    <w:rsid w:val="00C3219A"/>
    <w:rsid w:val="00C32A18"/>
    <w:rsid w:val="00C35232"/>
    <w:rsid w:val="00C35BA6"/>
    <w:rsid w:val="00C50547"/>
    <w:rsid w:val="00C53D20"/>
    <w:rsid w:val="00C608A0"/>
    <w:rsid w:val="00C61B12"/>
    <w:rsid w:val="00C626F4"/>
    <w:rsid w:val="00C63A59"/>
    <w:rsid w:val="00C660E5"/>
    <w:rsid w:val="00C66AD2"/>
    <w:rsid w:val="00C673DB"/>
    <w:rsid w:val="00C71B5C"/>
    <w:rsid w:val="00C71D9E"/>
    <w:rsid w:val="00C720C5"/>
    <w:rsid w:val="00C73C0C"/>
    <w:rsid w:val="00C7527C"/>
    <w:rsid w:val="00C755F5"/>
    <w:rsid w:val="00C75761"/>
    <w:rsid w:val="00C76C23"/>
    <w:rsid w:val="00C83665"/>
    <w:rsid w:val="00C8374F"/>
    <w:rsid w:val="00C86C39"/>
    <w:rsid w:val="00C8792F"/>
    <w:rsid w:val="00C93412"/>
    <w:rsid w:val="00C963E0"/>
    <w:rsid w:val="00CA456A"/>
    <w:rsid w:val="00CA7B26"/>
    <w:rsid w:val="00CB0A89"/>
    <w:rsid w:val="00CB4B44"/>
    <w:rsid w:val="00CB52E2"/>
    <w:rsid w:val="00CC3B8A"/>
    <w:rsid w:val="00CD0CFF"/>
    <w:rsid w:val="00CE09A7"/>
    <w:rsid w:val="00CE2FF4"/>
    <w:rsid w:val="00CE4294"/>
    <w:rsid w:val="00CE517B"/>
    <w:rsid w:val="00CF1983"/>
    <w:rsid w:val="00CF19A3"/>
    <w:rsid w:val="00CF299C"/>
    <w:rsid w:val="00CF6E15"/>
    <w:rsid w:val="00CF6FBB"/>
    <w:rsid w:val="00CF7BDD"/>
    <w:rsid w:val="00D0158E"/>
    <w:rsid w:val="00D02D65"/>
    <w:rsid w:val="00D02F51"/>
    <w:rsid w:val="00D03F09"/>
    <w:rsid w:val="00D06058"/>
    <w:rsid w:val="00D10455"/>
    <w:rsid w:val="00D12F48"/>
    <w:rsid w:val="00D1365D"/>
    <w:rsid w:val="00D143FC"/>
    <w:rsid w:val="00D1660E"/>
    <w:rsid w:val="00D16D8F"/>
    <w:rsid w:val="00D20A13"/>
    <w:rsid w:val="00D22618"/>
    <w:rsid w:val="00D25438"/>
    <w:rsid w:val="00D255AF"/>
    <w:rsid w:val="00D26D05"/>
    <w:rsid w:val="00D30770"/>
    <w:rsid w:val="00D310C1"/>
    <w:rsid w:val="00D314D6"/>
    <w:rsid w:val="00D33FC3"/>
    <w:rsid w:val="00D46FEE"/>
    <w:rsid w:val="00D50BBD"/>
    <w:rsid w:val="00D52142"/>
    <w:rsid w:val="00D52C4A"/>
    <w:rsid w:val="00D55567"/>
    <w:rsid w:val="00D72B1B"/>
    <w:rsid w:val="00D72E98"/>
    <w:rsid w:val="00D76FA6"/>
    <w:rsid w:val="00D813AD"/>
    <w:rsid w:val="00DA099F"/>
    <w:rsid w:val="00DA0DA6"/>
    <w:rsid w:val="00DA214F"/>
    <w:rsid w:val="00DA34BC"/>
    <w:rsid w:val="00DA57EF"/>
    <w:rsid w:val="00DB1594"/>
    <w:rsid w:val="00DB213A"/>
    <w:rsid w:val="00DB61E5"/>
    <w:rsid w:val="00DC1748"/>
    <w:rsid w:val="00DC1B90"/>
    <w:rsid w:val="00DC3001"/>
    <w:rsid w:val="00DC6E1A"/>
    <w:rsid w:val="00DC6F3A"/>
    <w:rsid w:val="00DC73FD"/>
    <w:rsid w:val="00DD0461"/>
    <w:rsid w:val="00DD180D"/>
    <w:rsid w:val="00DD268E"/>
    <w:rsid w:val="00DD5E59"/>
    <w:rsid w:val="00DE0F3F"/>
    <w:rsid w:val="00DE3F1F"/>
    <w:rsid w:val="00DF1DD2"/>
    <w:rsid w:val="00E02494"/>
    <w:rsid w:val="00E030CA"/>
    <w:rsid w:val="00E2245F"/>
    <w:rsid w:val="00E2336A"/>
    <w:rsid w:val="00E2567D"/>
    <w:rsid w:val="00E317C7"/>
    <w:rsid w:val="00E37CBE"/>
    <w:rsid w:val="00E442FC"/>
    <w:rsid w:val="00E44E35"/>
    <w:rsid w:val="00E54748"/>
    <w:rsid w:val="00E5693A"/>
    <w:rsid w:val="00E644B6"/>
    <w:rsid w:val="00E65D66"/>
    <w:rsid w:val="00E70C3C"/>
    <w:rsid w:val="00E7296F"/>
    <w:rsid w:val="00E73A7B"/>
    <w:rsid w:val="00E82D79"/>
    <w:rsid w:val="00E83CA3"/>
    <w:rsid w:val="00E9398F"/>
    <w:rsid w:val="00E93A3C"/>
    <w:rsid w:val="00E9629A"/>
    <w:rsid w:val="00E97DCA"/>
    <w:rsid w:val="00EA5305"/>
    <w:rsid w:val="00EA5BD3"/>
    <w:rsid w:val="00EA7CCB"/>
    <w:rsid w:val="00EB07D9"/>
    <w:rsid w:val="00EB239D"/>
    <w:rsid w:val="00EB4A5C"/>
    <w:rsid w:val="00EB6E23"/>
    <w:rsid w:val="00EC3E40"/>
    <w:rsid w:val="00EC41AD"/>
    <w:rsid w:val="00EC4767"/>
    <w:rsid w:val="00EC505A"/>
    <w:rsid w:val="00EC70DB"/>
    <w:rsid w:val="00ED011D"/>
    <w:rsid w:val="00ED0469"/>
    <w:rsid w:val="00ED23F8"/>
    <w:rsid w:val="00ED33FF"/>
    <w:rsid w:val="00ED502B"/>
    <w:rsid w:val="00ED5D22"/>
    <w:rsid w:val="00EE078B"/>
    <w:rsid w:val="00EE4691"/>
    <w:rsid w:val="00EF0D80"/>
    <w:rsid w:val="00EF3458"/>
    <w:rsid w:val="00EF57EF"/>
    <w:rsid w:val="00EF6BD4"/>
    <w:rsid w:val="00EF6F10"/>
    <w:rsid w:val="00EF6FD4"/>
    <w:rsid w:val="00F02702"/>
    <w:rsid w:val="00F05921"/>
    <w:rsid w:val="00F061C5"/>
    <w:rsid w:val="00F11B93"/>
    <w:rsid w:val="00F15B1B"/>
    <w:rsid w:val="00F201F1"/>
    <w:rsid w:val="00F21409"/>
    <w:rsid w:val="00F21C60"/>
    <w:rsid w:val="00F2495B"/>
    <w:rsid w:val="00F25E08"/>
    <w:rsid w:val="00F27399"/>
    <w:rsid w:val="00F331A5"/>
    <w:rsid w:val="00F333A5"/>
    <w:rsid w:val="00F35460"/>
    <w:rsid w:val="00F3592E"/>
    <w:rsid w:val="00F36513"/>
    <w:rsid w:val="00F37438"/>
    <w:rsid w:val="00F4443E"/>
    <w:rsid w:val="00F45853"/>
    <w:rsid w:val="00F505EE"/>
    <w:rsid w:val="00F53ED3"/>
    <w:rsid w:val="00F573F8"/>
    <w:rsid w:val="00F645D7"/>
    <w:rsid w:val="00F67856"/>
    <w:rsid w:val="00F709AF"/>
    <w:rsid w:val="00F71028"/>
    <w:rsid w:val="00F72823"/>
    <w:rsid w:val="00F801A3"/>
    <w:rsid w:val="00F82C2C"/>
    <w:rsid w:val="00F84E7D"/>
    <w:rsid w:val="00F85EDE"/>
    <w:rsid w:val="00F87934"/>
    <w:rsid w:val="00F87C33"/>
    <w:rsid w:val="00F95736"/>
    <w:rsid w:val="00F96645"/>
    <w:rsid w:val="00FA1CB4"/>
    <w:rsid w:val="00FA39F1"/>
    <w:rsid w:val="00FA6413"/>
    <w:rsid w:val="00FC349E"/>
    <w:rsid w:val="00FC366F"/>
    <w:rsid w:val="00FC44D5"/>
    <w:rsid w:val="00FC4549"/>
    <w:rsid w:val="00FC73E4"/>
    <w:rsid w:val="00FD00D8"/>
    <w:rsid w:val="00FD0538"/>
    <w:rsid w:val="00FD173F"/>
    <w:rsid w:val="00FD2106"/>
    <w:rsid w:val="00FD58AE"/>
    <w:rsid w:val="00FD7D06"/>
    <w:rsid w:val="00FE1BBF"/>
    <w:rsid w:val="00FE2EC5"/>
    <w:rsid w:val="00FE37CB"/>
    <w:rsid w:val="00FF574D"/>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7D21BD"/>
  <w15:docId w15:val="{420C8726-93C7-4C75-BDC9-A2BA80A5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3E"/>
    <w:pPr>
      <w:spacing w:after="0" w:line="240" w:lineRule="auto"/>
    </w:pPr>
    <w:rPr>
      <w:sz w:val="24"/>
      <w:szCs w:val="24"/>
      <w:lang w:val="en-US"/>
    </w:rPr>
  </w:style>
  <w:style w:type="paragraph" w:styleId="Heading1">
    <w:name w:val="heading 1"/>
    <w:aliases w:val="h1"/>
    <w:next w:val="Normal"/>
    <w:link w:val="Heading1Char"/>
    <w:qFormat/>
    <w:rsid w:val="002421D2"/>
    <w:pPr>
      <w:keepNext/>
      <w:pageBreakBefore/>
      <w:pBdr>
        <w:bottom w:val="single" w:sz="4" w:space="1" w:color="auto"/>
      </w:pBdr>
      <w:spacing w:before="360" w:after="240" w:line="240" w:lineRule="auto"/>
      <w:outlineLvl w:val="0"/>
    </w:pPr>
    <w:rPr>
      <w:rFonts w:ascii="Arial" w:eastAsia="Times New Roman" w:hAnsi="Arial" w:cs="Times New Roman"/>
      <w:b/>
      <w:sz w:val="40"/>
      <w:szCs w:val="20"/>
      <w:lang w:val="en-US"/>
    </w:rPr>
  </w:style>
  <w:style w:type="paragraph" w:styleId="Heading2">
    <w:name w:val="heading 2"/>
    <w:aliases w:val="h2"/>
    <w:next w:val="Normal"/>
    <w:link w:val="Heading2Char"/>
    <w:qFormat/>
    <w:rsid w:val="002421D2"/>
    <w:pPr>
      <w:keepNext/>
      <w:spacing w:before="300" w:after="240" w:line="240" w:lineRule="auto"/>
      <w:outlineLvl w:val="1"/>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83E"/>
    <w:pPr>
      <w:tabs>
        <w:tab w:val="center" w:pos="4513"/>
        <w:tab w:val="right" w:pos="9026"/>
      </w:tabs>
    </w:pPr>
  </w:style>
  <w:style w:type="character" w:customStyle="1" w:styleId="HeaderChar">
    <w:name w:val="Header Char"/>
    <w:basedOn w:val="DefaultParagraphFont"/>
    <w:link w:val="Header"/>
    <w:rsid w:val="0031483E"/>
  </w:style>
  <w:style w:type="paragraph" w:styleId="Footer">
    <w:name w:val="footer"/>
    <w:basedOn w:val="Normal"/>
    <w:link w:val="FooterChar"/>
    <w:uiPriority w:val="99"/>
    <w:unhideWhenUsed/>
    <w:rsid w:val="0031483E"/>
    <w:pPr>
      <w:tabs>
        <w:tab w:val="center" w:pos="4513"/>
        <w:tab w:val="right" w:pos="9026"/>
      </w:tabs>
    </w:pPr>
  </w:style>
  <w:style w:type="character" w:customStyle="1" w:styleId="FooterChar">
    <w:name w:val="Footer Char"/>
    <w:basedOn w:val="DefaultParagraphFont"/>
    <w:link w:val="Footer"/>
    <w:uiPriority w:val="99"/>
    <w:rsid w:val="0031483E"/>
  </w:style>
  <w:style w:type="table" w:styleId="TableGrid">
    <w:name w:val="Table Grid"/>
    <w:basedOn w:val="TableNormal"/>
    <w:uiPriority w:val="59"/>
    <w:rsid w:val="0031483E"/>
    <w:pPr>
      <w:spacing w:after="0" w:line="240" w:lineRule="auto"/>
    </w:pPr>
    <w:rPr>
      <w:sz w:val="20"/>
      <w:szCs w:val="20"/>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483E"/>
    <w:rPr>
      <w:rFonts w:ascii="Tahoma" w:hAnsi="Tahoma" w:cs="Tahoma"/>
      <w:sz w:val="16"/>
      <w:szCs w:val="16"/>
    </w:rPr>
  </w:style>
  <w:style w:type="character" w:customStyle="1" w:styleId="BalloonTextChar">
    <w:name w:val="Balloon Text Char"/>
    <w:basedOn w:val="DefaultParagraphFont"/>
    <w:link w:val="BalloonText"/>
    <w:uiPriority w:val="99"/>
    <w:semiHidden/>
    <w:rsid w:val="0031483E"/>
    <w:rPr>
      <w:rFonts w:ascii="Tahoma" w:hAnsi="Tahoma" w:cs="Tahoma"/>
      <w:sz w:val="16"/>
      <w:szCs w:val="16"/>
      <w:lang w:val="en-US"/>
    </w:rPr>
  </w:style>
  <w:style w:type="character" w:styleId="Hyperlink">
    <w:name w:val="Hyperlink"/>
    <w:basedOn w:val="DefaultParagraphFont"/>
    <w:rsid w:val="00C078F9"/>
    <w:rPr>
      <w:color w:val="0000FF"/>
      <w:u w:val="single"/>
    </w:rPr>
  </w:style>
  <w:style w:type="paragraph" w:customStyle="1" w:styleId="Bodytext">
    <w:name w:val="Bodytext"/>
    <w:aliases w:val="bt"/>
    <w:basedOn w:val="Normal"/>
    <w:rsid w:val="00564F86"/>
    <w:pPr>
      <w:spacing w:after="240"/>
    </w:pPr>
    <w:rPr>
      <w:rFonts w:ascii="Times New Roman" w:eastAsia="Times New Roman" w:hAnsi="Times New Roman" w:cs="Times New Roman"/>
      <w:sz w:val="22"/>
      <w:szCs w:val="20"/>
    </w:rPr>
  </w:style>
  <w:style w:type="character" w:customStyle="1" w:styleId="HighlightedVariable">
    <w:name w:val="Highlighted Variable"/>
    <w:rsid w:val="00564F86"/>
    <w:rPr>
      <w:color w:val="0000FF"/>
    </w:rPr>
  </w:style>
  <w:style w:type="paragraph" w:styleId="Title">
    <w:name w:val="Title"/>
    <w:link w:val="TitleChar"/>
    <w:qFormat/>
    <w:rsid w:val="00564F86"/>
    <w:pPr>
      <w:keepLines/>
      <w:spacing w:after="120" w:line="240" w:lineRule="auto"/>
      <w:ind w:left="1440" w:right="720"/>
      <w:outlineLvl w:val="0"/>
    </w:pPr>
    <w:rPr>
      <w:rFonts w:ascii="Arial" w:eastAsia="Times New Roman" w:hAnsi="Arial" w:cs="Times New Roman"/>
      <w:b/>
      <w:sz w:val="44"/>
      <w:szCs w:val="20"/>
      <w:lang w:val="en-US"/>
    </w:rPr>
  </w:style>
  <w:style w:type="character" w:customStyle="1" w:styleId="TitleChar">
    <w:name w:val="Title Char"/>
    <w:basedOn w:val="DefaultParagraphFont"/>
    <w:link w:val="Title"/>
    <w:rsid w:val="00564F86"/>
    <w:rPr>
      <w:rFonts w:ascii="Arial" w:eastAsia="Times New Roman" w:hAnsi="Arial" w:cs="Times New Roman"/>
      <w:b/>
      <w:sz w:val="44"/>
      <w:szCs w:val="20"/>
      <w:lang w:val="en-US"/>
    </w:rPr>
  </w:style>
  <w:style w:type="paragraph" w:styleId="BodyText0">
    <w:name w:val="Body Text"/>
    <w:basedOn w:val="Normal"/>
    <w:link w:val="BodyTextChar"/>
    <w:rsid w:val="00564F86"/>
    <w:rPr>
      <w:rFonts w:ascii="Times New Roman" w:eastAsia="Times New Roman" w:hAnsi="Times New Roman" w:cs="Times New Roman"/>
      <w:i/>
      <w:color w:val="0000FF"/>
      <w:sz w:val="22"/>
      <w:szCs w:val="20"/>
    </w:rPr>
  </w:style>
  <w:style w:type="character" w:customStyle="1" w:styleId="BodyTextChar">
    <w:name w:val="Body Text Char"/>
    <w:basedOn w:val="DefaultParagraphFont"/>
    <w:link w:val="BodyText0"/>
    <w:rsid w:val="00564F86"/>
    <w:rPr>
      <w:rFonts w:ascii="Times New Roman" w:eastAsia="Times New Roman" w:hAnsi="Times New Roman" w:cs="Times New Roman"/>
      <w:i/>
      <w:color w:val="0000FF"/>
      <w:szCs w:val="20"/>
      <w:lang w:val="en-US"/>
    </w:rPr>
  </w:style>
  <w:style w:type="paragraph" w:styleId="FootnoteText">
    <w:name w:val="footnote text"/>
    <w:basedOn w:val="Normal"/>
    <w:link w:val="FootnoteTextChar"/>
    <w:semiHidden/>
    <w:rsid w:val="008B78A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B78AF"/>
    <w:rPr>
      <w:rFonts w:ascii="Times New Roman" w:eastAsia="Times New Roman" w:hAnsi="Times New Roman" w:cs="Times New Roman"/>
      <w:sz w:val="20"/>
      <w:szCs w:val="20"/>
      <w:lang w:val="en-US"/>
    </w:rPr>
  </w:style>
  <w:style w:type="character" w:styleId="FootnoteReference">
    <w:name w:val="footnote reference"/>
    <w:semiHidden/>
    <w:rsid w:val="008B78AF"/>
    <w:rPr>
      <w:vertAlign w:val="superscript"/>
    </w:rPr>
  </w:style>
  <w:style w:type="paragraph" w:styleId="ListParagraph">
    <w:name w:val="List Paragraph"/>
    <w:basedOn w:val="Normal"/>
    <w:uiPriority w:val="34"/>
    <w:qFormat/>
    <w:rsid w:val="00002824"/>
    <w:pPr>
      <w:ind w:left="720"/>
      <w:contextualSpacing/>
    </w:pPr>
  </w:style>
  <w:style w:type="character" w:customStyle="1" w:styleId="Heading1Char">
    <w:name w:val="Heading 1 Char"/>
    <w:aliases w:val="h1 Char"/>
    <w:basedOn w:val="DefaultParagraphFont"/>
    <w:link w:val="Heading1"/>
    <w:rsid w:val="002421D2"/>
    <w:rPr>
      <w:rFonts w:ascii="Arial" w:eastAsia="Times New Roman" w:hAnsi="Arial" w:cs="Times New Roman"/>
      <w:b/>
      <w:sz w:val="40"/>
      <w:szCs w:val="20"/>
      <w:lang w:val="en-US"/>
    </w:rPr>
  </w:style>
  <w:style w:type="character" w:customStyle="1" w:styleId="Heading2Char">
    <w:name w:val="Heading 2 Char"/>
    <w:aliases w:val="h2 Char"/>
    <w:basedOn w:val="DefaultParagraphFont"/>
    <w:link w:val="Heading2"/>
    <w:rsid w:val="002421D2"/>
    <w:rPr>
      <w:rFonts w:ascii="Arial" w:eastAsia="Times New Roman" w:hAnsi="Arial" w:cs="Times New Roman"/>
      <w:b/>
      <w:sz w:val="28"/>
      <w:szCs w:val="20"/>
      <w:lang w:val="en-US"/>
    </w:rPr>
  </w:style>
  <w:style w:type="paragraph" w:styleId="NormalWeb">
    <w:name w:val="Normal (Web)"/>
    <w:basedOn w:val="Normal"/>
    <w:uiPriority w:val="99"/>
    <w:rsid w:val="00087CBB"/>
    <w:pPr>
      <w:spacing w:before="100" w:beforeAutospacing="1" w:after="100" w:afterAutospacing="1"/>
    </w:pPr>
    <w:rPr>
      <w:rFonts w:ascii="Times New Roman" w:eastAsia="MS Mincho" w:hAnsi="Times New Roman" w:cs="Times New Roman"/>
      <w:lang w:val="fr-FR" w:eastAsia="ja-JP"/>
    </w:rPr>
  </w:style>
  <w:style w:type="paragraph" w:styleId="BodyText3">
    <w:name w:val="Body Text 3"/>
    <w:basedOn w:val="Normal"/>
    <w:link w:val="BodyText3Char"/>
    <w:rsid w:val="002115F4"/>
    <w:pPr>
      <w:spacing w:after="120"/>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rsid w:val="002115F4"/>
    <w:rPr>
      <w:rFonts w:ascii="Times New Roman" w:eastAsia="Times New Roman" w:hAnsi="Times New Roman" w:cs="Times New Roman"/>
      <w:sz w:val="16"/>
      <w:szCs w:val="16"/>
      <w:lang w:eastAsia="zh-CN"/>
    </w:rPr>
  </w:style>
  <w:style w:type="paragraph" w:styleId="ListBullet">
    <w:name w:val="List Bullet"/>
    <w:basedOn w:val="Normal"/>
    <w:autoRedefine/>
    <w:rsid w:val="00420F8B"/>
    <w:pPr>
      <w:spacing w:after="240"/>
      <w:ind w:left="480"/>
      <w:jc w:val="both"/>
    </w:pPr>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3126C9"/>
    <w:rPr>
      <w:sz w:val="18"/>
      <w:szCs w:val="18"/>
    </w:rPr>
  </w:style>
  <w:style w:type="paragraph" w:styleId="CommentText">
    <w:name w:val="annotation text"/>
    <w:basedOn w:val="Normal"/>
    <w:link w:val="CommentTextChar"/>
    <w:uiPriority w:val="99"/>
    <w:semiHidden/>
    <w:unhideWhenUsed/>
    <w:rsid w:val="003126C9"/>
  </w:style>
  <w:style w:type="character" w:customStyle="1" w:styleId="CommentTextChar">
    <w:name w:val="Comment Text Char"/>
    <w:basedOn w:val="DefaultParagraphFont"/>
    <w:link w:val="CommentText"/>
    <w:uiPriority w:val="99"/>
    <w:semiHidden/>
    <w:rsid w:val="003126C9"/>
    <w:rPr>
      <w:sz w:val="24"/>
      <w:szCs w:val="24"/>
      <w:lang w:val="en-US"/>
    </w:rPr>
  </w:style>
  <w:style w:type="paragraph" w:styleId="CommentSubject">
    <w:name w:val="annotation subject"/>
    <w:basedOn w:val="CommentText"/>
    <w:next w:val="CommentText"/>
    <w:link w:val="CommentSubjectChar"/>
    <w:uiPriority w:val="99"/>
    <w:semiHidden/>
    <w:unhideWhenUsed/>
    <w:rsid w:val="003126C9"/>
    <w:rPr>
      <w:b/>
      <w:bCs/>
      <w:sz w:val="20"/>
      <w:szCs w:val="20"/>
    </w:rPr>
  </w:style>
  <w:style w:type="character" w:customStyle="1" w:styleId="CommentSubjectChar">
    <w:name w:val="Comment Subject Char"/>
    <w:basedOn w:val="CommentTextChar"/>
    <w:link w:val="CommentSubject"/>
    <w:uiPriority w:val="99"/>
    <w:semiHidden/>
    <w:rsid w:val="003126C9"/>
    <w:rPr>
      <w:b/>
      <w:bCs/>
      <w:sz w:val="20"/>
      <w:szCs w:val="20"/>
      <w:lang w:val="en-US"/>
    </w:rPr>
  </w:style>
  <w:style w:type="paragraph" w:customStyle="1" w:styleId="Normalnumber">
    <w:name w:val="Normal_number"/>
    <w:basedOn w:val="Normal"/>
    <w:link w:val="NormalnumberChar"/>
    <w:uiPriority w:val="99"/>
    <w:rsid w:val="00F25E08"/>
    <w:pPr>
      <w:numPr>
        <w:numId w:val="1"/>
      </w:numPr>
      <w:spacing w:after="120"/>
    </w:pPr>
    <w:rPr>
      <w:rFonts w:ascii="Times New Roman" w:eastAsia="Times New Roman" w:hAnsi="Times New Roman" w:cs="Times New Roman"/>
      <w:sz w:val="20"/>
      <w:szCs w:val="20"/>
    </w:rPr>
  </w:style>
  <w:style w:type="character" w:customStyle="1" w:styleId="NormalnumberChar">
    <w:name w:val="Normal_number Char"/>
    <w:link w:val="Normalnumber"/>
    <w:uiPriority w:val="99"/>
    <w:locked/>
    <w:rsid w:val="00F25E0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591">
      <w:bodyDiv w:val="1"/>
      <w:marLeft w:val="0"/>
      <w:marRight w:val="0"/>
      <w:marTop w:val="0"/>
      <w:marBottom w:val="0"/>
      <w:divBdr>
        <w:top w:val="none" w:sz="0" w:space="0" w:color="auto"/>
        <w:left w:val="none" w:sz="0" w:space="0" w:color="auto"/>
        <w:bottom w:val="none" w:sz="0" w:space="0" w:color="auto"/>
        <w:right w:val="none" w:sz="0" w:space="0" w:color="auto"/>
      </w:divBdr>
    </w:div>
    <w:div w:id="133446650">
      <w:bodyDiv w:val="1"/>
      <w:marLeft w:val="0"/>
      <w:marRight w:val="0"/>
      <w:marTop w:val="0"/>
      <w:marBottom w:val="0"/>
      <w:divBdr>
        <w:top w:val="none" w:sz="0" w:space="0" w:color="auto"/>
        <w:left w:val="none" w:sz="0" w:space="0" w:color="auto"/>
        <w:bottom w:val="none" w:sz="0" w:space="0" w:color="auto"/>
        <w:right w:val="none" w:sz="0" w:space="0" w:color="auto"/>
      </w:divBdr>
    </w:div>
    <w:div w:id="146438624">
      <w:bodyDiv w:val="1"/>
      <w:marLeft w:val="0"/>
      <w:marRight w:val="0"/>
      <w:marTop w:val="0"/>
      <w:marBottom w:val="0"/>
      <w:divBdr>
        <w:top w:val="none" w:sz="0" w:space="0" w:color="auto"/>
        <w:left w:val="none" w:sz="0" w:space="0" w:color="auto"/>
        <w:bottom w:val="none" w:sz="0" w:space="0" w:color="auto"/>
        <w:right w:val="none" w:sz="0" w:space="0" w:color="auto"/>
      </w:divBdr>
    </w:div>
    <w:div w:id="206914866">
      <w:bodyDiv w:val="1"/>
      <w:marLeft w:val="0"/>
      <w:marRight w:val="0"/>
      <w:marTop w:val="0"/>
      <w:marBottom w:val="0"/>
      <w:divBdr>
        <w:top w:val="none" w:sz="0" w:space="0" w:color="auto"/>
        <w:left w:val="none" w:sz="0" w:space="0" w:color="auto"/>
        <w:bottom w:val="none" w:sz="0" w:space="0" w:color="auto"/>
        <w:right w:val="none" w:sz="0" w:space="0" w:color="auto"/>
      </w:divBdr>
    </w:div>
    <w:div w:id="533078219">
      <w:bodyDiv w:val="1"/>
      <w:marLeft w:val="0"/>
      <w:marRight w:val="0"/>
      <w:marTop w:val="0"/>
      <w:marBottom w:val="0"/>
      <w:divBdr>
        <w:top w:val="none" w:sz="0" w:space="0" w:color="auto"/>
        <w:left w:val="none" w:sz="0" w:space="0" w:color="auto"/>
        <w:bottom w:val="none" w:sz="0" w:space="0" w:color="auto"/>
        <w:right w:val="none" w:sz="0" w:space="0" w:color="auto"/>
      </w:divBdr>
    </w:div>
    <w:div w:id="963468321">
      <w:bodyDiv w:val="1"/>
      <w:marLeft w:val="0"/>
      <w:marRight w:val="0"/>
      <w:marTop w:val="0"/>
      <w:marBottom w:val="0"/>
      <w:divBdr>
        <w:top w:val="none" w:sz="0" w:space="0" w:color="auto"/>
        <w:left w:val="none" w:sz="0" w:space="0" w:color="auto"/>
        <w:bottom w:val="none" w:sz="0" w:space="0" w:color="auto"/>
        <w:right w:val="none" w:sz="0" w:space="0" w:color="auto"/>
      </w:divBdr>
    </w:div>
    <w:div w:id="1143691456">
      <w:bodyDiv w:val="1"/>
      <w:marLeft w:val="0"/>
      <w:marRight w:val="0"/>
      <w:marTop w:val="0"/>
      <w:marBottom w:val="0"/>
      <w:divBdr>
        <w:top w:val="none" w:sz="0" w:space="0" w:color="auto"/>
        <w:left w:val="none" w:sz="0" w:space="0" w:color="auto"/>
        <w:bottom w:val="none" w:sz="0" w:space="0" w:color="auto"/>
        <w:right w:val="none" w:sz="0" w:space="0" w:color="auto"/>
      </w:divBdr>
    </w:div>
    <w:div w:id="1182553236">
      <w:bodyDiv w:val="1"/>
      <w:marLeft w:val="0"/>
      <w:marRight w:val="0"/>
      <w:marTop w:val="0"/>
      <w:marBottom w:val="0"/>
      <w:divBdr>
        <w:top w:val="none" w:sz="0" w:space="0" w:color="auto"/>
        <w:left w:val="none" w:sz="0" w:space="0" w:color="auto"/>
        <w:bottom w:val="none" w:sz="0" w:space="0" w:color="auto"/>
        <w:right w:val="none" w:sz="0" w:space="0" w:color="auto"/>
      </w:divBdr>
    </w:div>
    <w:div w:id="1807044411">
      <w:bodyDiv w:val="1"/>
      <w:marLeft w:val="0"/>
      <w:marRight w:val="0"/>
      <w:marTop w:val="0"/>
      <w:marBottom w:val="0"/>
      <w:divBdr>
        <w:top w:val="none" w:sz="0" w:space="0" w:color="auto"/>
        <w:left w:val="none" w:sz="0" w:space="0" w:color="auto"/>
        <w:bottom w:val="none" w:sz="0" w:space="0" w:color="auto"/>
        <w:right w:val="none" w:sz="0" w:space="0" w:color="auto"/>
      </w:divBdr>
    </w:div>
    <w:div w:id="1942108764">
      <w:bodyDiv w:val="1"/>
      <w:marLeft w:val="0"/>
      <w:marRight w:val="0"/>
      <w:marTop w:val="0"/>
      <w:marBottom w:val="0"/>
      <w:divBdr>
        <w:top w:val="none" w:sz="0" w:space="0" w:color="auto"/>
        <w:left w:val="none" w:sz="0" w:space="0" w:color="auto"/>
        <w:bottom w:val="none" w:sz="0" w:space="0" w:color="auto"/>
        <w:right w:val="none" w:sz="0" w:space="0" w:color="auto"/>
      </w:divBdr>
    </w:div>
    <w:div w:id="1945842491">
      <w:bodyDiv w:val="1"/>
      <w:marLeft w:val="0"/>
      <w:marRight w:val="0"/>
      <w:marTop w:val="0"/>
      <w:marBottom w:val="0"/>
      <w:divBdr>
        <w:top w:val="none" w:sz="0" w:space="0" w:color="auto"/>
        <w:left w:val="none" w:sz="0" w:space="0" w:color="auto"/>
        <w:bottom w:val="none" w:sz="0" w:space="0" w:color="auto"/>
        <w:right w:val="none" w:sz="0" w:space="0" w:color="auto"/>
      </w:divBdr>
    </w:div>
    <w:div w:id="20248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9A450-A2A7-4F08-97B0-48D200D0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candredelaporte</dc:creator>
  <cp:lastModifiedBy>Clara Schmidt</cp:lastModifiedBy>
  <cp:revision>7</cp:revision>
  <cp:lastPrinted>2015-12-11T15:27:00Z</cp:lastPrinted>
  <dcterms:created xsi:type="dcterms:W3CDTF">2020-01-09T16:48:00Z</dcterms:created>
  <dcterms:modified xsi:type="dcterms:W3CDTF">2020-03-05T14:16:00Z</dcterms:modified>
</cp:coreProperties>
</file>