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2617A" w14:textId="77777777" w:rsidR="00EB4A5C" w:rsidRPr="00301266" w:rsidRDefault="00EB4A5C" w:rsidP="0031483E">
      <w:pPr>
        <w:rPr>
          <w:rFonts w:ascii="Roboto Regular" w:hAnsi="Roboto Regular" w:cs="Times New Roman"/>
          <w:b/>
          <w:noProof/>
          <w:sz w:val="20"/>
          <w:szCs w:val="20"/>
          <w:lang w:val="en-GB"/>
        </w:rPr>
      </w:pPr>
    </w:p>
    <w:p w14:paraId="2D125F16" w14:textId="77777777" w:rsidR="00CA7B26" w:rsidRPr="00301266" w:rsidRDefault="00CA7B26" w:rsidP="0031483E">
      <w:pPr>
        <w:rPr>
          <w:rFonts w:ascii="Roboto Regular" w:hAnsi="Roboto Regular" w:cs="Times New Roman"/>
          <w:b/>
          <w:noProof/>
          <w:sz w:val="20"/>
          <w:szCs w:val="20"/>
          <w:lang w:val="en-GB"/>
        </w:rPr>
      </w:pPr>
    </w:p>
    <w:p w14:paraId="27D31F2D" w14:textId="769A7DBC" w:rsidR="00BE0DA3" w:rsidRPr="00301266" w:rsidRDefault="00EB4A5C" w:rsidP="0031483E">
      <w:pPr>
        <w:rPr>
          <w:rFonts w:ascii="Roboto Regular" w:hAnsi="Roboto Regular" w:cs="Times New Roman"/>
          <w:b/>
          <w:noProof/>
          <w:sz w:val="20"/>
          <w:szCs w:val="20"/>
          <w:lang w:val="en-GB"/>
        </w:rPr>
      </w:pPr>
      <w:r w:rsidRPr="00301266">
        <w:rPr>
          <w:rFonts w:ascii="Roboto Regular" w:hAnsi="Roboto Regular" w:cs="Times New Roman"/>
          <w:b/>
          <w:noProof/>
          <w:sz w:val="20"/>
          <w:szCs w:val="20"/>
          <w:lang w:val="en-GB"/>
        </w:rPr>
        <w:tab/>
      </w:r>
    </w:p>
    <w:p w14:paraId="54C81471" w14:textId="77777777" w:rsidR="000272A3" w:rsidRPr="00301266" w:rsidRDefault="000272A3" w:rsidP="000272A3">
      <w:pPr>
        <w:tabs>
          <w:tab w:val="left" w:pos="3104"/>
          <w:tab w:val="center" w:pos="4596"/>
        </w:tabs>
        <w:jc w:val="center"/>
        <w:rPr>
          <w:rFonts w:ascii="Roboto Regular" w:hAnsi="Roboto Regular" w:cs="Arial"/>
          <w:b/>
          <w:smallCaps/>
          <w:sz w:val="20"/>
          <w:szCs w:val="20"/>
          <w:lang w:val="en-GB"/>
        </w:rPr>
      </w:pPr>
      <w:r w:rsidRPr="00301266">
        <w:rPr>
          <w:rFonts w:ascii="Roboto Regular" w:hAnsi="Roboto Regular" w:cs="Arial"/>
          <w:b/>
          <w:smallCaps/>
          <w:sz w:val="20"/>
          <w:szCs w:val="20"/>
          <w:lang w:val="en-GB"/>
        </w:rPr>
        <w:t>Project Concept Note</w:t>
      </w:r>
    </w:p>
    <w:p w14:paraId="1AC5143C" w14:textId="77777777" w:rsidR="000272A3" w:rsidRPr="00301266" w:rsidRDefault="000272A3" w:rsidP="000272A3">
      <w:pPr>
        <w:tabs>
          <w:tab w:val="left" w:pos="3104"/>
          <w:tab w:val="center" w:pos="4596"/>
        </w:tabs>
        <w:jc w:val="center"/>
        <w:rPr>
          <w:rFonts w:ascii="Roboto Regular" w:hAnsi="Roboto Regular" w:cs="Arial"/>
          <w:b/>
          <w:smallCaps/>
          <w:sz w:val="20"/>
          <w:szCs w:val="20"/>
          <w:lang w:val="en-GB"/>
        </w:rPr>
      </w:pPr>
    </w:p>
    <w:tbl>
      <w:tblPr>
        <w:tblStyle w:val="TableGrid"/>
        <w:tblW w:w="9923" w:type="dxa"/>
        <w:tblInd w:w="-318" w:type="dxa"/>
        <w:tblLook w:val="04A0" w:firstRow="1" w:lastRow="0" w:firstColumn="1" w:lastColumn="0" w:noHBand="0" w:noVBand="1"/>
      </w:tblPr>
      <w:tblGrid>
        <w:gridCol w:w="2978"/>
        <w:gridCol w:w="709"/>
        <w:gridCol w:w="713"/>
        <w:gridCol w:w="2056"/>
        <w:gridCol w:w="484"/>
        <w:gridCol w:w="2983"/>
      </w:tblGrid>
      <w:tr w:rsidR="000272A3" w:rsidRPr="00301266" w14:paraId="613B4FEC" w14:textId="77777777" w:rsidTr="00E40F38">
        <w:trPr>
          <w:trHeight w:val="232"/>
        </w:trPr>
        <w:tc>
          <w:tcPr>
            <w:tcW w:w="3687" w:type="dxa"/>
            <w:gridSpan w:val="2"/>
            <w:tcBorders>
              <w:bottom w:val="nil"/>
            </w:tcBorders>
            <w:shd w:val="clear" w:color="auto" w:fill="9CCCBA"/>
            <w:vAlign w:val="center"/>
          </w:tcPr>
          <w:p w14:paraId="15A60BD4" w14:textId="77777777" w:rsidR="000272A3" w:rsidRPr="00301266" w:rsidRDefault="000272A3" w:rsidP="0088010B">
            <w:pPr>
              <w:ind w:left="-426" w:firstLine="426"/>
              <w:rPr>
                <w:rFonts w:ascii="Roboto Regular" w:hAnsi="Roboto Regular" w:cs="Arial"/>
                <w:b/>
                <w:sz w:val="20"/>
                <w:szCs w:val="20"/>
              </w:rPr>
            </w:pPr>
            <w:r w:rsidRPr="00301266">
              <w:rPr>
                <w:rFonts w:ascii="Roboto Regular" w:hAnsi="Roboto Regular" w:cs="Arial"/>
                <w:b/>
                <w:sz w:val="20"/>
                <w:szCs w:val="20"/>
              </w:rPr>
              <w:t>CONVENTIONS :</w:t>
            </w:r>
          </w:p>
        </w:tc>
        <w:tc>
          <w:tcPr>
            <w:tcW w:w="6236" w:type="dxa"/>
            <w:gridSpan w:val="4"/>
            <w:tcBorders>
              <w:bottom w:val="nil"/>
            </w:tcBorders>
            <w:shd w:val="clear" w:color="auto" w:fill="9CCCBA"/>
            <w:vAlign w:val="center"/>
          </w:tcPr>
          <w:p w14:paraId="1E20892D" w14:textId="77777777" w:rsidR="000272A3" w:rsidRPr="00301266" w:rsidRDefault="000272A3" w:rsidP="0088010B">
            <w:pPr>
              <w:rPr>
                <w:rFonts w:ascii="Roboto Regular" w:hAnsi="Roboto Regular" w:cs="Arial"/>
                <w:b/>
                <w:sz w:val="20"/>
                <w:szCs w:val="20"/>
              </w:rPr>
            </w:pPr>
            <w:r w:rsidRPr="00301266">
              <w:rPr>
                <w:rFonts w:ascii="Roboto Regular" w:hAnsi="Roboto Regular" w:cs="Arial"/>
                <w:b/>
                <w:sz w:val="20"/>
                <w:szCs w:val="20"/>
              </w:rPr>
              <w:t>PROJECT TITLE :</w:t>
            </w:r>
          </w:p>
        </w:tc>
      </w:tr>
      <w:tr w:rsidR="001B6FFA" w:rsidRPr="00301266" w14:paraId="63F019A5" w14:textId="77777777" w:rsidTr="00E40F38">
        <w:trPr>
          <w:trHeight w:val="454"/>
        </w:trPr>
        <w:tc>
          <w:tcPr>
            <w:tcW w:w="3687" w:type="dxa"/>
            <w:gridSpan w:val="2"/>
            <w:tcBorders>
              <w:top w:val="nil"/>
              <w:bottom w:val="single" w:sz="4" w:space="0" w:color="auto"/>
            </w:tcBorders>
            <w:vAlign w:val="center"/>
          </w:tcPr>
          <w:p w14:paraId="3B760300" w14:textId="698BD24A" w:rsidR="001B6FFA" w:rsidRPr="00301266" w:rsidRDefault="001B6FFA" w:rsidP="001B6FFA">
            <w:pPr>
              <w:rPr>
                <w:rFonts w:ascii="Roboto Regular" w:hAnsi="Roboto Regular" w:cs="Arial"/>
                <w:sz w:val="20"/>
                <w:szCs w:val="20"/>
              </w:rPr>
            </w:pPr>
            <w:r w:rsidRPr="00301266">
              <w:rPr>
                <w:rFonts w:ascii="Roboto Regular" w:eastAsia="MS Gothic" w:hAnsi="Roboto Regular" w:cs="Arial"/>
                <w:sz w:val="20"/>
                <w:szCs w:val="20"/>
              </w:rPr>
              <w:sym w:font="Wingdings" w:char="F06E"/>
            </w:r>
            <w:r w:rsidRPr="00301266">
              <w:rPr>
                <w:rFonts w:ascii="Roboto Regular" w:hAnsi="Roboto Regular" w:cs="Arial"/>
                <w:sz w:val="20"/>
                <w:szCs w:val="20"/>
              </w:rPr>
              <w:t xml:space="preserve">BC   </w:t>
            </w:r>
            <w:r w:rsidRPr="00301266">
              <w:rPr>
                <w:rFonts w:ascii="Roboto Regular" w:eastAsia="MS Gothic" w:hAnsi="Roboto Regular" w:cs="Arial"/>
                <w:sz w:val="20"/>
                <w:szCs w:val="20"/>
              </w:rPr>
              <w:sym w:font="Wingdings" w:char="F06F"/>
            </w:r>
            <w:r w:rsidRPr="00301266">
              <w:rPr>
                <w:rFonts w:ascii="Roboto Regular" w:hAnsi="Roboto Regular" w:cs="Arial"/>
                <w:sz w:val="20"/>
                <w:szCs w:val="20"/>
              </w:rPr>
              <w:t xml:space="preserve">RC   </w:t>
            </w:r>
            <w:r w:rsidRPr="00301266">
              <w:rPr>
                <w:rFonts w:ascii="Roboto Regular" w:eastAsia="MS Gothic" w:hAnsi="Roboto Regular" w:cs="Arial"/>
                <w:sz w:val="20"/>
                <w:szCs w:val="20"/>
              </w:rPr>
              <w:sym w:font="Wingdings" w:char="F06F"/>
            </w:r>
            <w:r w:rsidRPr="00301266">
              <w:rPr>
                <w:rFonts w:ascii="Roboto Regular" w:hAnsi="Roboto Regular" w:cs="Arial"/>
                <w:sz w:val="20"/>
                <w:szCs w:val="20"/>
              </w:rPr>
              <w:t xml:space="preserve">SC   </w:t>
            </w:r>
            <w:r w:rsidRPr="00301266">
              <w:rPr>
                <w:rFonts w:ascii="Roboto Regular" w:eastAsia="MS Gothic" w:hAnsi="Roboto Regular" w:cs="Arial"/>
                <w:sz w:val="20"/>
                <w:szCs w:val="20"/>
              </w:rPr>
              <w:sym w:font="Wingdings" w:char="F06F"/>
            </w:r>
            <w:r w:rsidRPr="00301266">
              <w:rPr>
                <w:rFonts w:ascii="Roboto Regular" w:hAnsi="Roboto Regular" w:cs="Arial"/>
                <w:sz w:val="20"/>
                <w:szCs w:val="20"/>
              </w:rPr>
              <w:t>SYN</w:t>
            </w:r>
          </w:p>
        </w:tc>
        <w:tc>
          <w:tcPr>
            <w:tcW w:w="6236" w:type="dxa"/>
            <w:gridSpan w:val="4"/>
            <w:tcBorders>
              <w:top w:val="nil"/>
              <w:bottom w:val="single" w:sz="4" w:space="0" w:color="auto"/>
            </w:tcBorders>
          </w:tcPr>
          <w:p w14:paraId="395DF0EA" w14:textId="7617016B" w:rsidR="001B6FFA" w:rsidRPr="00301266" w:rsidRDefault="00DD77F0" w:rsidP="001B6FFA">
            <w:pPr>
              <w:rPr>
                <w:rFonts w:ascii="Roboto Regular" w:hAnsi="Roboto Regular" w:cs="Arial"/>
                <w:sz w:val="20"/>
                <w:szCs w:val="20"/>
              </w:rPr>
            </w:pPr>
            <w:sdt>
              <w:sdtPr>
                <w:rPr>
                  <w:rFonts w:ascii="Roboto Regular" w:hAnsi="Roboto Regular"/>
                  <w:b/>
                  <w:bCs/>
                  <w:sz w:val="20"/>
                  <w:szCs w:val="20"/>
                </w:rPr>
                <w:alias w:val="PoW Titles"/>
                <w:tag w:val="PoW Titles"/>
                <w:id w:val="-1599020782"/>
                <w:placeholder>
                  <w:docPart w:val="A9118AD4E2FA43E4B5EF977414458718"/>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EndPr/>
              <w:sdtContent>
                <w:r w:rsidR="001B6FFA" w:rsidRPr="00301266">
                  <w:rPr>
                    <w:rFonts w:ascii="Roboto Regular" w:hAnsi="Roboto Regular"/>
                    <w:b/>
                    <w:bCs/>
                    <w:sz w:val="20"/>
                    <w:szCs w:val="20"/>
                  </w:rPr>
                  <w:t>Scientific support for Parties to the Basel Convention</w:t>
                </w:r>
              </w:sdtContent>
            </w:sdt>
            <w:r w:rsidR="00AE3D4E" w:rsidRPr="00AE3D4E">
              <w:rPr>
                <w:rFonts w:ascii="Roboto Regular" w:hAnsi="Roboto Regular"/>
                <w:b/>
                <w:bCs/>
                <w:sz w:val="20"/>
                <w:szCs w:val="20"/>
              </w:rPr>
              <w:t>(PoW20)</w:t>
            </w:r>
          </w:p>
        </w:tc>
      </w:tr>
      <w:tr w:rsidR="000272A3" w:rsidRPr="00301266" w14:paraId="07BA12F5" w14:textId="77777777" w:rsidTr="00E40F38">
        <w:trPr>
          <w:trHeight w:val="227"/>
        </w:trPr>
        <w:tc>
          <w:tcPr>
            <w:tcW w:w="3687" w:type="dxa"/>
            <w:gridSpan w:val="2"/>
            <w:tcBorders>
              <w:top w:val="single" w:sz="4" w:space="0" w:color="auto"/>
              <w:bottom w:val="nil"/>
            </w:tcBorders>
            <w:shd w:val="clear" w:color="auto" w:fill="C7E3D8"/>
            <w:vAlign w:val="center"/>
          </w:tcPr>
          <w:p w14:paraId="0D14CA94" w14:textId="77777777" w:rsidR="000272A3" w:rsidRPr="00301266" w:rsidRDefault="000272A3" w:rsidP="0088010B">
            <w:pPr>
              <w:rPr>
                <w:rFonts w:ascii="Roboto Regular" w:eastAsia="MS Gothic" w:hAnsi="Roboto Regular" w:cs="Arial"/>
                <w:b/>
                <w:sz w:val="20"/>
                <w:szCs w:val="20"/>
                <w:shd w:val="clear" w:color="auto" w:fill="C7E3D8"/>
              </w:rPr>
            </w:pPr>
            <w:r w:rsidRPr="00301266">
              <w:rPr>
                <w:rFonts w:ascii="Roboto Regular" w:eastAsia="MS Gothic" w:hAnsi="Roboto Regular" w:cs="Arial"/>
                <w:b/>
                <w:sz w:val="20"/>
                <w:szCs w:val="20"/>
                <w:shd w:val="clear" w:color="auto" w:fill="C7E3D8"/>
              </w:rPr>
              <w:t>FUNDING OPTIONS:</w:t>
            </w:r>
          </w:p>
        </w:tc>
        <w:tc>
          <w:tcPr>
            <w:tcW w:w="2769" w:type="dxa"/>
            <w:gridSpan w:val="2"/>
            <w:tcBorders>
              <w:top w:val="single" w:sz="4" w:space="0" w:color="auto"/>
              <w:bottom w:val="nil"/>
            </w:tcBorders>
            <w:shd w:val="clear" w:color="auto" w:fill="C7E3D8"/>
            <w:vAlign w:val="center"/>
          </w:tcPr>
          <w:p w14:paraId="71AC3800" w14:textId="77777777" w:rsidR="000272A3" w:rsidRPr="00301266" w:rsidRDefault="000272A3" w:rsidP="0088010B">
            <w:pPr>
              <w:rPr>
                <w:rFonts w:ascii="Roboto Regular" w:eastAsia="MS Gothic" w:hAnsi="Roboto Regular" w:cs="Arial"/>
                <w:b/>
                <w:sz w:val="20"/>
                <w:szCs w:val="20"/>
                <w:shd w:val="clear" w:color="auto" w:fill="C7E3D8"/>
              </w:rPr>
            </w:pPr>
            <w:r w:rsidRPr="00301266">
              <w:rPr>
                <w:rFonts w:ascii="Roboto Regular" w:hAnsi="Roboto Regular" w:cs="Arial"/>
                <w:b/>
                <w:sz w:val="20"/>
                <w:szCs w:val="20"/>
                <w:shd w:val="clear" w:color="auto" w:fill="C7E3D8"/>
              </w:rPr>
              <w:t>TYPE / LOCATION</w:t>
            </w:r>
          </w:p>
        </w:tc>
        <w:tc>
          <w:tcPr>
            <w:tcW w:w="3467" w:type="dxa"/>
            <w:gridSpan w:val="2"/>
            <w:tcBorders>
              <w:top w:val="single" w:sz="4" w:space="0" w:color="auto"/>
              <w:bottom w:val="nil"/>
            </w:tcBorders>
            <w:shd w:val="clear" w:color="auto" w:fill="C7E3D8"/>
            <w:vAlign w:val="center"/>
          </w:tcPr>
          <w:p w14:paraId="76ED4697" w14:textId="77777777" w:rsidR="000272A3" w:rsidRPr="00301266" w:rsidRDefault="000272A3" w:rsidP="0088010B">
            <w:pPr>
              <w:rPr>
                <w:rFonts w:ascii="Roboto Regular" w:eastAsia="MS Gothic" w:hAnsi="Roboto Regular" w:cs="Arial"/>
                <w:b/>
                <w:sz w:val="20"/>
                <w:szCs w:val="20"/>
                <w:shd w:val="clear" w:color="auto" w:fill="C7E3D8"/>
              </w:rPr>
            </w:pPr>
            <w:r w:rsidRPr="00301266">
              <w:rPr>
                <w:rFonts w:ascii="Roboto Regular" w:hAnsi="Roboto Regular" w:cs="Arial"/>
                <w:b/>
                <w:sz w:val="20"/>
                <w:szCs w:val="20"/>
                <w:shd w:val="clear" w:color="auto" w:fill="C7E3D8"/>
              </w:rPr>
              <w:t>TARGETED COUNTRIES:</w:t>
            </w:r>
          </w:p>
        </w:tc>
      </w:tr>
      <w:tr w:rsidR="000272A3" w:rsidRPr="00301266" w14:paraId="6E435865" w14:textId="77777777" w:rsidTr="00E40F38">
        <w:trPr>
          <w:trHeight w:val="567"/>
        </w:trPr>
        <w:tc>
          <w:tcPr>
            <w:tcW w:w="3687" w:type="dxa"/>
            <w:gridSpan w:val="2"/>
            <w:tcBorders>
              <w:top w:val="nil"/>
              <w:bottom w:val="single" w:sz="4" w:space="0" w:color="auto"/>
            </w:tcBorders>
            <w:vAlign w:val="center"/>
          </w:tcPr>
          <w:p w14:paraId="0875FD7A" w14:textId="77777777" w:rsidR="000272A3" w:rsidRPr="00301266" w:rsidRDefault="000272A3" w:rsidP="0088010B">
            <w:pPr>
              <w:rPr>
                <w:rFonts w:ascii="Roboto Regular" w:eastAsia="MS Gothic" w:hAnsi="Roboto Regular" w:cs="Arial"/>
                <w:sz w:val="20"/>
                <w:szCs w:val="20"/>
                <w:lang w:val="en-GB"/>
              </w:rPr>
            </w:pPr>
            <w:r w:rsidRPr="00301266">
              <w:rPr>
                <w:rFonts w:ascii="Roboto Regular" w:eastAsia="MS Gothic" w:hAnsi="Roboto Regular" w:cs="Arial"/>
                <w:sz w:val="20"/>
                <w:szCs w:val="20"/>
              </w:rPr>
              <w:sym w:font="Wingdings" w:char="F06F"/>
            </w:r>
            <w:r w:rsidRPr="00301266">
              <w:rPr>
                <w:rFonts w:ascii="Roboto Regular" w:eastAsia="MS Gothic" w:hAnsi="Roboto Regular" w:cs="Arial"/>
                <w:sz w:val="20"/>
                <w:szCs w:val="20"/>
                <w:lang w:val="en-GB"/>
              </w:rPr>
              <w:t>Funding in full</w:t>
            </w:r>
          </w:p>
          <w:p w14:paraId="3189D4D6" w14:textId="791A41CC" w:rsidR="000272A3" w:rsidRPr="00301266" w:rsidRDefault="001B6FFA" w:rsidP="0088010B">
            <w:pPr>
              <w:rPr>
                <w:rFonts w:ascii="Roboto Regular" w:hAnsi="Roboto Regular" w:cs="Arial"/>
                <w:sz w:val="20"/>
                <w:szCs w:val="20"/>
                <w:lang w:val="en-GB"/>
              </w:rPr>
            </w:pPr>
            <w:r w:rsidRPr="00301266">
              <w:rPr>
                <w:rFonts w:ascii="Roboto Regular" w:eastAsia="MS Gothic" w:hAnsi="Roboto Regular" w:cs="Arial"/>
                <w:sz w:val="20"/>
                <w:szCs w:val="20"/>
              </w:rPr>
              <w:sym w:font="Wingdings" w:char="F06E"/>
            </w:r>
            <w:r w:rsidR="000272A3" w:rsidRPr="00301266">
              <w:rPr>
                <w:rFonts w:ascii="Roboto Regular" w:eastAsia="MS Gothic" w:hAnsi="Roboto Regular" w:cs="Arial"/>
                <w:sz w:val="20"/>
                <w:szCs w:val="20"/>
              </w:rPr>
              <w:t xml:space="preserve"> </w:t>
            </w:r>
            <w:r w:rsidR="000272A3" w:rsidRPr="00301266">
              <w:rPr>
                <w:rFonts w:ascii="Roboto Regular" w:eastAsia="MS Gothic" w:hAnsi="Roboto Regular" w:cs="Arial"/>
                <w:sz w:val="20"/>
                <w:szCs w:val="20"/>
                <w:lang w:val="en-GB"/>
              </w:rPr>
              <w:t>Partial funding possible</w:t>
            </w:r>
          </w:p>
        </w:tc>
        <w:tc>
          <w:tcPr>
            <w:tcW w:w="2769" w:type="dxa"/>
            <w:gridSpan w:val="2"/>
            <w:tcBorders>
              <w:top w:val="nil"/>
            </w:tcBorders>
            <w:shd w:val="clear" w:color="auto" w:fill="auto"/>
            <w:vAlign w:val="center"/>
          </w:tcPr>
          <w:p w14:paraId="0FB6F355" w14:textId="48EA8A41" w:rsidR="000272A3" w:rsidRPr="00301266" w:rsidRDefault="001B6FFA" w:rsidP="0088010B">
            <w:pPr>
              <w:rPr>
                <w:rFonts w:ascii="Roboto Regular" w:hAnsi="Roboto Regular" w:cs="Arial"/>
                <w:sz w:val="20"/>
                <w:szCs w:val="20"/>
                <w:lang w:val="en-GB"/>
              </w:rPr>
            </w:pPr>
            <w:r w:rsidRPr="00301266">
              <w:rPr>
                <w:rFonts w:ascii="Roboto Regular" w:eastAsia="MS Gothic" w:hAnsi="Roboto Regular" w:cs="Arial"/>
                <w:sz w:val="20"/>
                <w:szCs w:val="20"/>
              </w:rPr>
              <w:sym w:font="Wingdings" w:char="F06E"/>
            </w:r>
            <w:r w:rsidR="000272A3" w:rsidRPr="00301266">
              <w:rPr>
                <w:rFonts w:ascii="Roboto Regular" w:eastAsia="MS Gothic" w:hAnsi="Roboto Regular" w:cs="Arial"/>
                <w:sz w:val="20"/>
                <w:szCs w:val="20"/>
              </w:rPr>
              <w:t xml:space="preserve"> </w:t>
            </w:r>
            <w:r w:rsidR="000272A3" w:rsidRPr="00301266">
              <w:rPr>
                <w:rFonts w:ascii="Roboto Regular" w:hAnsi="Roboto Regular" w:cs="Arial"/>
                <w:sz w:val="20"/>
                <w:szCs w:val="20"/>
                <w:lang w:val="en-GB"/>
              </w:rPr>
              <w:t xml:space="preserve">Global </w:t>
            </w:r>
            <w:r w:rsidR="000272A3" w:rsidRPr="00301266">
              <w:rPr>
                <w:rFonts w:ascii="Roboto Regular" w:hAnsi="Roboto Regular" w:cs="Arial"/>
                <w:i/>
                <w:sz w:val="20"/>
                <w:szCs w:val="20"/>
                <w:vertAlign w:val="superscript"/>
                <w:lang w:val="en-GB"/>
              </w:rPr>
              <w:t xml:space="preserve"> </w:t>
            </w:r>
            <w:r w:rsidR="000272A3" w:rsidRPr="00301266">
              <w:rPr>
                <w:rFonts w:ascii="Roboto Regular" w:hAnsi="Roboto Regular" w:cs="Arial"/>
                <w:i/>
                <w:sz w:val="20"/>
                <w:szCs w:val="20"/>
                <w:lang w:val="en-GB"/>
              </w:rPr>
              <w:t xml:space="preserve">    </w:t>
            </w:r>
            <w:r w:rsidR="000272A3" w:rsidRPr="00301266">
              <w:rPr>
                <w:rFonts w:ascii="Roboto Regular" w:eastAsia="MS Gothic" w:hAnsi="Roboto Regular" w:cs="Arial"/>
                <w:sz w:val="20"/>
                <w:szCs w:val="20"/>
              </w:rPr>
              <w:sym w:font="Wingdings" w:char="F06F"/>
            </w:r>
            <w:r w:rsidR="000272A3" w:rsidRPr="00301266">
              <w:rPr>
                <w:rFonts w:ascii="Roboto Regular" w:eastAsia="MS Gothic" w:hAnsi="Roboto Regular" w:cs="Arial"/>
                <w:sz w:val="20"/>
                <w:szCs w:val="20"/>
              </w:rPr>
              <w:t xml:space="preserve"> </w:t>
            </w:r>
            <w:r w:rsidR="000272A3" w:rsidRPr="00301266">
              <w:rPr>
                <w:rFonts w:ascii="Roboto Regular" w:hAnsi="Roboto Regular" w:cs="Arial"/>
                <w:sz w:val="20"/>
                <w:szCs w:val="20"/>
                <w:lang w:val="en-GB"/>
              </w:rPr>
              <w:t xml:space="preserve">Regional     </w:t>
            </w:r>
            <w:r w:rsidR="000272A3" w:rsidRPr="00301266">
              <w:rPr>
                <w:rFonts w:ascii="Roboto Regular" w:eastAsia="MS Gothic" w:hAnsi="Roboto Regular" w:cs="Arial"/>
                <w:sz w:val="20"/>
                <w:szCs w:val="20"/>
              </w:rPr>
              <w:sym w:font="Wingdings" w:char="F06F"/>
            </w:r>
            <w:r w:rsidR="000272A3" w:rsidRPr="00301266">
              <w:rPr>
                <w:rFonts w:ascii="Roboto Regular" w:eastAsia="MS Gothic" w:hAnsi="Roboto Regular" w:cs="Arial"/>
                <w:sz w:val="20"/>
                <w:szCs w:val="20"/>
              </w:rPr>
              <w:t xml:space="preserve"> </w:t>
            </w:r>
            <w:r w:rsidR="000272A3" w:rsidRPr="00301266">
              <w:rPr>
                <w:rFonts w:ascii="Roboto Regular" w:hAnsi="Roboto Regular" w:cs="Arial"/>
                <w:sz w:val="20"/>
                <w:szCs w:val="20"/>
                <w:lang w:val="en-GB"/>
              </w:rPr>
              <w:t>National</w:t>
            </w:r>
          </w:p>
        </w:tc>
        <w:tc>
          <w:tcPr>
            <w:tcW w:w="3467" w:type="dxa"/>
            <w:gridSpan w:val="2"/>
            <w:tcBorders>
              <w:top w:val="nil"/>
            </w:tcBorders>
            <w:shd w:val="clear" w:color="auto" w:fill="auto"/>
            <w:vAlign w:val="center"/>
          </w:tcPr>
          <w:p w14:paraId="78A1B255" w14:textId="08A05A83" w:rsidR="000272A3" w:rsidRPr="00301266" w:rsidRDefault="001B6FFA" w:rsidP="0088010B">
            <w:pPr>
              <w:rPr>
                <w:rFonts w:ascii="Roboto Regular" w:hAnsi="Roboto Regular" w:cs="Arial"/>
                <w:sz w:val="20"/>
                <w:szCs w:val="20"/>
                <w:lang w:val="en-GB"/>
              </w:rPr>
            </w:pPr>
            <w:r w:rsidRPr="00301266">
              <w:rPr>
                <w:rFonts w:ascii="Roboto Regular" w:hAnsi="Roboto Regular" w:cs="Arial"/>
                <w:sz w:val="20"/>
                <w:szCs w:val="20"/>
                <w:lang w:val="en-GB"/>
              </w:rPr>
              <w:t>Global</w:t>
            </w:r>
          </w:p>
        </w:tc>
      </w:tr>
      <w:tr w:rsidR="000272A3" w:rsidRPr="00301266" w14:paraId="0F9FCABE" w14:textId="77777777" w:rsidTr="00E40F38">
        <w:trPr>
          <w:trHeight w:val="227"/>
        </w:trPr>
        <w:tc>
          <w:tcPr>
            <w:tcW w:w="9923" w:type="dxa"/>
            <w:gridSpan w:val="6"/>
            <w:tcBorders>
              <w:top w:val="single" w:sz="4" w:space="0" w:color="auto"/>
              <w:bottom w:val="nil"/>
            </w:tcBorders>
            <w:shd w:val="clear" w:color="auto" w:fill="C7E3D8"/>
            <w:vAlign w:val="center"/>
          </w:tcPr>
          <w:p w14:paraId="28A2FBBA" w14:textId="77777777" w:rsidR="000272A3" w:rsidRPr="00301266" w:rsidRDefault="000272A3" w:rsidP="0088010B">
            <w:pPr>
              <w:rPr>
                <w:rFonts w:ascii="Roboto Regular" w:hAnsi="Roboto Regular" w:cs="Arial"/>
                <w:b/>
                <w:sz w:val="20"/>
                <w:szCs w:val="20"/>
              </w:rPr>
            </w:pPr>
            <w:r w:rsidRPr="00301266">
              <w:rPr>
                <w:rFonts w:ascii="Roboto Regular" w:hAnsi="Roboto Regular" w:cs="Arial"/>
                <w:b/>
                <w:sz w:val="20"/>
                <w:szCs w:val="20"/>
                <w:shd w:val="clear" w:color="auto" w:fill="C7E3D8"/>
              </w:rPr>
              <w:t>MANDATE</w:t>
            </w:r>
          </w:p>
        </w:tc>
      </w:tr>
      <w:tr w:rsidR="000272A3" w:rsidRPr="00301266" w14:paraId="725DBD5B" w14:textId="77777777" w:rsidTr="00E40F38">
        <w:trPr>
          <w:trHeight w:val="454"/>
        </w:trPr>
        <w:tc>
          <w:tcPr>
            <w:tcW w:w="9923" w:type="dxa"/>
            <w:gridSpan w:val="6"/>
            <w:tcBorders>
              <w:top w:val="nil"/>
            </w:tcBorders>
            <w:vAlign w:val="center"/>
          </w:tcPr>
          <w:p w14:paraId="00318909" w14:textId="06D06CD5" w:rsidR="000272A3" w:rsidRPr="00301266" w:rsidRDefault="000272A3" w:rsidP="0088010B">
            <w:pPr>
              <w:rPr>
                <w:rFonts w:ascii="Roboto Regular" w:hAnsi="Roboto Regular" w:cs="Arial"/>
                <w:sz w:val="20"/>
                <w:szCs w:val="20"/>
              </w:rPr>
            </w:pPr>
            <w:r w:rsidRPr="00301266">
              <w:rPr>
                <w:rFonts w:ascii="Roboto Regular" w:hAnsi="Roboto Regular" w:cs="Arial"/>
                <w:sz w:val="20"/>
                <w:szCs w:val="20"/>
              </w:rPr>
              <w:t xml:space="preserve">Convention Article:  </w:t>
            </w:r>
            <w:r w:rsidR="001B6FFA" w:rsidRPr="00301266">
              <w:rPr>
                <w:rFonts w:ascii="Roboto Regular" w:hAnsi="Roboto Regular"/>
                <w:sz w:val="20"/>
                <w:szCs w:val="20"/>
              </w:rPr>
              <w:t>Article 6 of the Basel Convention</w:t>
            </w:r>
          </w:p>
          <w:p w14:paraId="0762BF9E" w14:textId="2BF3AC37" w:rsidR="000272A3" w:rsidRPr="00301266" w:rsidRDefault="000272A3" w:rsidP="0088010B">
            <w:pPr>
              <w:tabs>
                <w:tab w:val="left" w:pos="1157"/>
              </w:tabs>
              <w:suppressAutoHyphens/>
              <w:rPr>
                <w:rFonts w:ascii="Roboto Regular" w:hAnsi="Roboto Regular" w:cs="Arial"/>
                <w:noProof/>
                <w:sz w:val="20"/>
                <w:szCs w:val="20"/>
              </w:rPr>
            </w:pPr>
            <w:r w:rsidRPr="00301266">
              <w:rPr>
                <w:rFonts w:ascii="Roboto Regular" w:hAnsi="Roboto Regular" w:cs="Arial"/>
                <w:bCs/>
                <w:sz w:val="20"/>
                <w:szCs w:val="20"/>
              </w:rPr>
              <w:t xml:space="preserve">COP decision(s): </w:t>
            </w:r>
            <w:r w:rsidR="001B6FFA" w:rsidRPr="00301266">
              <w:rPr>
                <w:rFonts w:ascii="Roboto Regular" w:hAnsi="Roboto Regular"/>
                <w:bCs/>
                <w:sz w:val="20"/>
                <w:szCs w:val="20"/>
              </w:rPr>
              <w:t>BC-14/3, BC-14/4, BC-14/5, BC-14/6, BC-14/7, BC-14/8, BC-14/9, BC-14/11, BC-14/14 and BC-14/13  of the Basel Convention, SC-9/8 of the Stockholm Convention, OEWG-11/3,  OEWG-11/5, OEWG-11/9, OEWG-11/10, OEWG-11/14, UNEA resolutions 1/6, 2/11, 3/7 and 3/9</w:t>
            </w:r>
          </w:p>
        </w:tc>
      </w:tr>
      <w:tr w:rsidR="000272A3" w:rsidRPr="00301266" w14:paraId="6769467E" w14:textId="77777777" w:rsidTr="00E40F38">
        <w:trPr>
          <w:trHeight w:val="227"/>
        </w:trPr>
        <w:tc>
          <w:tcPr>
            <w:tcW w:w="9923" w:type="dxa"/>
            <w:gridSpan w:val="6"/>
            <w:tcBorders>
              <w:bottom w:val="nil"/>
            </w:tcBorders>
            <w:shd w:val="clear" w:color="auto" w:fill="C7E3D8"/>
            <w:vAlign w:val="center"/>
          </w:tcPr>
          <w:p w14:paraId="113633AE" w14:textId="77777777" w:rsidR="000272A3" w:rsidRPr="00301266" w:rsidRDefault="000272A3" w:rsidP="0088010B">
            <w:pPr>
              <w:rPr>
                <w:rFonts w:ascii="Roboto Regular" w:hAnsi="Roboto Regular" w:cs="Arial"/>
                <w:b/>
                <w:sz w:val="20"/>
                <w:szCs w:val="20"/>
              </w:rPr>
            </w:pPr>
            <w:r w:rsidRPr="00301266">
              <w:rPr>
                <w:rFonts w:ascii="Roboto Regular" w:hAnsi="Roboto Regular" w:cs="Arial"/>
                <w:b/>
                <w:sz w:val="20"/>
                <w:szCs w:val="20"/>
                <w:shd w:val="clear" w:color="auto" w:fill="C7E3D8"/>
              </w:rPr>
              <w:t>Rationale</w:t>
            </w:r>
          </w:p>
        </w:tc>
      </w:tr>
      <w:tr w:rsidR="000272A3" w:rsidRPr="00301266" w14:paraId="51C5C68F" w14:textId="77777777" w:rsidTr="00E40F38">
        <w:trPr>
          <w:trHeight w:val="454"/>
        </w:trPr>
        <w:tc>
          <w:tcPr>
            <w:tcW w:w="9923" w:type="dxa"/>
            <w:gridSpan w:val="6"/>
            <w:tcBorders>
              <w:top w:val="nil"/>
              <w:bottom w:val="single" w:sz="4" w:space="0" w:color="auto"/>
            </w:tcBorders>
            <w:vAlign w:val="center"/>
          </w:tcPr>
          <w:p w14:paraId="6E0AA68B" w14:textId="77777777" w:rsidR="001B6FFA" w:rsidRPr="00301266" w:rsidRDefault="001B6FFA" w:rsidP="001B6FFA">
            <w:pPr>
              <w:snapToGrid w:val="0"/>
              <w:spacing w:before="60" w:after="60"/>
              <w:rPr>
                <w:rFonts w:ascii="Roboto Regular" w:hAnsi="Roboto Regular"/>
                <w:b/>
                <w:bCs/>
                <w:sz w:val="20"/>
                <w:szCs w:val="20"/>
              </w:rPr>
            </w:pPr>
            <w:r w:rsidRPr="00301266">
              <w:rPr>
                <w:rFonts w:ascii="Roboto Regular" w:hAnsi="Roboto Regular"/>
                <w:b/>
                <w:bCs/>
                <w:sz w:val="20"/>
                <w:szCs w:val="20"/>
              </w:rPr>
              <w:t xml:space="preserve">Technical guidelines for environmentally sound management of hazardous waste </w:t>
            </w:r>
          </w:p>
          <w:p w14:paraId="29A417E9" w14:textId="77777777" w:rsidR="001B6FFA" w:rsidRPr="00301266" w:rsidRDefault="001B6FFA" w:rsidP="001B6FFA">
            <w:pPr>
              <w:pStyle w:val="Level1"/>
              <w:numPr>
                <w:ilvl w:val="0"/>
                <w:numId w:val="0"/>
              </w:numPr>
              <w:snapToGrid w:val="0"/>
              <w:spacing w:before="60" w:after="60"/>
              <w:rPr>
                <w:rFonts w:ascii="Roboto Regular" w:hAnsi="Roboto Regular"/>
                <w:lang w:eastAsia="en-GB"/>
              </w:rPr>
            </w:pPr>
            <w:r w:rsidRPr="00301266">
              <w:rPr>
                <w:rFonts w:ascii="Roboto Regular" w:hAnsi="Roboto Regular"/>
                <w:lang w:eastAsia="en-GB"/>
              </w:rPr>
              <w:t xml:space="preserve">The COPs mandated the Secretariat to update the technical guidelines on POP wastes, as well as developing new ones, as appropriate. Since 2011 experts under the Basel and the Stockholm conventions have been working on the development and the update of technical guidelines on POP wastes. </w:t>
            </w:r>
          </w:p>
          <w:p w14:paraId="17361166" w14:textId="735EFB65" w:rsidR="001B6FFA" w:rsidRPr="00301266" w:rsidRDefault="001B6FFA" w:rsidP="001B6FFA">
            <w:pPr>
              <w:pStyle w:val="Level1"/>
              <w:numPr>
                <w:ilvl w:val="0"/>
                <w:numId w:val="0"/>
              </w:numPr>
              <w:snapToGrid w:val="0"/>
              <w:spacing w:before="60" w:after="60"/>
              <w:rPr>
                <w:rFonts w:ascii="Roboto Regular" w:hAnsi="Roboto Regular"/>
                <w:lang w:eastAsia="en-GB"/>
              </w:rPr>
            </w:pPr>
            <w:r w:rsidRPr="00301266">
              <w:rPr>
                <w:rFonts w:ascii="Roboto Regular" w:hAnsi="Roboto Regular"/>
                <w:lang w:eastAsia="en-GB"/>
              </w:rPr>
              <w:t xml:space="preserve">COP-9 of the Parties to the Stockholm Convention may decide to add two new POPs in the Annexes of the Convention, which will imply that new technical guidelines may be developed and previous technical guidelines may need to be updated. </w:t>
            </w:r>
          </w:p>
          <w:p w14:paraId="10464209" w14:textId="77777777" w:rsidR="001B6FFA" w:rsidRPr="00301266" w:rsidRDefault="001B6FFA" w:rsidP="001B6FFA">
            <w:pPr>
              <w:pStyle w:val="Level1"/>
              <w:numPr>
                <w:ilvl w:val="0"/>
                <w:numId w:val="0"/>
              </w:numPr>
              <w:snapToGrid w:val="0"/>
              <w:spacing w:before="60" w:after="60"/>
              <w:rPr>
                <w:rFonts w:ascii="Roboto Regular" w:hAnsi="Roboto Regular"/>
                <w:lang w:val="en-US" w:eastAsia="en-GB"/>
              </w:rPr>
            </w:pPr>
            <w:r w:rsidRPr="00301266">
              <w:rPr>
                <w:rFonts w:ascii="Roboto Regular" w:hAnsi="Roboto Regular"/>
                <w:lang w:eastAsia="en-GB"/>
              </w:rPr>
              <w:t xml:space="preserve">Decision BC-13/19 included the consideration of whether 2 previously adopted technical guidelines should be updated (on D8 and D9 operations of Annex IV of the Basel Convention). OEWG-11/15 contains a recommendation to COP-15 regarding the  update of these 2 technical guidelines. </w:t>
            </w:r>
            <w:r w:rsidRPr="00301266">
              <w:rPr>
                <w:rFonts w:ascii="Roboto Regular" w:hAnsi="Roboto Regular"/>
                <w:lang w:val="en-US" w:eastAsia="en-GB"/>
              </w:rPr>
              <w:t xml:space="preserve"> Additionally, as per decisions BC-13/6 and OEWG-11/5, a recommendation is made to COP-14 to continue the update of the D5 and D10 technical guidelines. Furthermore, decision OEWG-11/8 included updating of the technical guidelines for the identification and sound management of plastic wastes and for their disposal as one of the draft elements for a decision on marine plastic litter and microplastics.</w:t>
            </w:r>
          </w:p>
          <w:p w14:paraId="72600DC9" w14:textId="77777777" w:rsidR="001B6FFA" w:rsidRPr="00301266" w:rsidRDefault="001B6FFA" w:rsidP="001B6FFA">
            <w:pPr>
              <w:pStyle w:val="Level1"/>
              <w:numPr>
                <w:ilvl w:val="0"/>
                <w:numId w:val="0"/>
              </w:numPr>
              <w:snapToGrid w:val="0"/>
              <w:spacing w:before="60" w:after="60"/>
              <w:rPr>
                <w:rFonts w:ascii="Roboto Regular" w:hAnsi="Roboto Regular"/>
                <w:lang w:eastAsia="en-GB"/>
              </w:rPr>
            </w:pPr>
            <w:r w:rsidRPr="00301266">
              <w:rPr>
                <w:rFonts w:ascii="Roboto Regular" w:hAnsi="Roboto Regular"/>
                <w:lang w:eastAsia="en-GB"/>
              </w:rPr>
              <w:t>The United Nations Environment Assembly in its resolution 3/9 on eliminating exposure to lead paint and promoting environmentally sound management (ESM) of waste lead-acid batteries, reiterated its strong determination to continue to reduce exposure to lead, including through promoting the ESM of waste lead-acid batteries and eliminating lead paint.  In the same resolution, it invited the Conference of the Parties to the Basel Convention to consider revising the Technical Guidelines for the ESM of Waste Lead-acid Batteries regarding the application of new technologies in different aspects of ESM systems.</w:t>
            </w:r>
          </w:p>
          <w:p w14:paraId="69FDD2E6" w14:textId="77777777" w:rsidR="001B6FFA" w:rsidRPr="00301266" w:rsidRDefault="001B6FFA" w:rsidP="001B6FFA">
            <w:pPr>
              <w:pStyle w:val="Level1"/>
              <w:numPr>
                <w:ilvl w:val="0"/>
                <w:numId w:val="0"/>
              </w:numPr>
              <w:snapToGrid w:val="0"/>
              <w:spacing w:before="60" w:after="60"/>
              <w:rPr>
                <w:rFonts w:ascii="Roboto Regular" w:hAnsi="Roboto Regular"/>
                <w:lang w:eastAsia="en-GB"/>
              </w:rPr>
            </w:pPr>
            <w:r w:rsidRPr="00301266">
              <w:rPr>
                <w:rFonts w:ascii="Roboto Regular" w:hAnsi="Roboto Regular"/>
              </w:rPr>
              <w:t xml:space="preserve">The Conference of the Parties to the Minamata Convention on Mercury, at its second meeting, invited the Conference of the Parties to the Basel Convention to consider reviewing, as appropriate, the technical guidelines </w:t>
            </w:r>
            <w:r w:rsidRPr="00301266">
              <w:rPr>
                <w:rFonts w:ascii="Roboto Regular" w:eastAsia="MS PGothic" w:hAnsi="Roboto Regular"/>
                <w:iCs/>
                <w:lang w:val="en-IE"/>
              </w:rPr>
              <w:t>on environmentally sound management of wastes consisting of, containing or contaminated with mercury or mercury compounds</w:t>
            </w:r>
            <w:r w:rsidRPr="00301266">
              <w:rPr>
                <w:rFonts w:ascii="Roboto Regular" w:hAnsi="Roboto Regular"/>
              </w:rPr>
              <w:t xml:space="preserve"> adopted by the Conference of the Parties to the Basel Convention in 2015.</w:t>
            </w:r>
          </w:p>
          <w:p w14:paraId="31DFBE51" w14:textId="77777777" w:rsidR="001B6FFA" w:rsidRPr="00301266" w:rsidRDefault="001B6FFA" w:rsidP="001B6FFA">
            <w:pPr>
              <w:pStyle w:val="Level1"/>
              <w:numPr>
                <w:ilvl w:val="0"/>
                <w:numId w:val="0"/>
              </w:numPr>
              <w:snapToGrid w:val="0"/>
              <w:spacing w:before="60" w:after="60"/>
              <w:rPr>
                <w:rFonts w:ascii="Roboto Regular" w:hAnsi="Roboto Regular"/>
                <w:b/>
                <w:bCs/>
              </w:rPr>
            </w:pPr>
            <w:r w:rsidRPr="00301266">
              <w:rPr>
                <w:rFonts w:ascii="Roboto Regular" w:hAnsi="Roboto Regular"/>
                <w:b/>
                <w:bCs/>
              </w:rPr>
              <w:t>Control system for transboundary movements (E-notification)</w:t>
            </w:r>
          </w:p>
          <w:p w14:paraId="6F950908" w14:textId="77777777" w:rsidR="001B6FFA" w:rsidRPr="00301266" w:rsidRDefault="001B6FFA" w:rsidP="001B6FFA">
            <w:pPr>
              <w:snapToGrid w:val="0"/>
              <w:spacing w:before="60" w:after="60"/>
              <w:rPr>
                <w:rFonts w:ascii="Roboto Regular" w:hAnsi="Roboto Regular"/>
                <w:b/>
                <w:bCs/>
                <w:sz w:val="20"/>
                <w:szCs w:val="20"/>
              </w:rPr>
            </w:pPr>
            <w:r w:rsidRPr="00301266">
              <w:rPr>
                <w:rFonts w:ascii="Roboto Regular" w:hAnsi="Roboto Regular"/>
                <w:noProof/>
                <w:sz w:val="20"/>
                <w:szCs w:val="20"/>
              </w:rPr>
              <w:t xml:space="preserve">The Basel Convention sets out  a detailed procedure with requirements for controlling the transboundary movements of hazardous and other wastes under the Basel Convention, which relies on the exchange of information through notification and movement documents. For many Parties to the Basel Convention, the notification and movement documents are paper-based and transmitted by post, fax and email. Experience of countries that have in place electronic systems for exchanging information on or controlling the transboundary movements of goods and wastes show that such approaches can bring considerable benefits, such as time and cost savings and improved enforcement of related regulations. The Conference of the Parties to the Basel Convention, in its decision BC-13/17, requested the Secretariat to prepare a document containing options on how to move forward on electronic approaches to the notification and movement documents, for consideration by OEWG-11. Decision OEWG-11/9 sets out recommendations to COP14 on activities to be implemented in that regard.  The activities should provide Parties with shared understanding of the potential benefits of a system for </w:t>
            </w:r>
            <w:r w:rsidRPr="00301266">
              <w:rPr>
                <w:rFonts w:ascii="Roboto Regular" w:hAnsi="Roboto Regular"/>
                <w:sz w:val="20"/>
                <w:szCs w:val="20"/>
                <w:lang w:eastAsia="en-GB"/>
              </w:rPr>
              <w:t>establishing a Basel Convention system that allows for the automation of processes and the electronic exchange of information relating to the notification and movement of hazardous and other wastes and of options for such a system.</w:t>
            </w:r>
            <w:r w:rsidRPr="00301266">
              <w:rPr>
                <w:rFonts w:ascii="Roboto Regular" w:hAnsi="Roboto Regular"/>
                <w:b/>
                <w:bCs/>
                <w:sz w:val="20"/>
                <w:szCs w:val="20"/>
              </w:rPr>
              <w:t xml:space="preserve"> </w:t>
            </w:r>
          </w:p>
          <w:p w14:paraId="43886F6B" w14:textId="77777777" w:rsidR="001B6FFA" w:rsidRPr="00301266" w:rsidRDefault="001B6FFA" w:rsidP="001B6FFA">
            <w:pPr>
              <w:snapToGrid w:val="0"/>
              <w:spacing w:before="60" w:after="60"/>
              <w:rPr>
                <w:rFonts w:ascii="Roboto Regular" w:hAnsi="Roboto Regular"/>
                <w:b/>
                <w:bCs/>
                <w:sz w:val="20"/>
                <w:szCs w:val="20"/>
              </w:rPr>
            </w:pPr>
            <w:r w:rsidRPr="00301266">
              <w:rPr>
                <w:rFonts w:ascii="Roboto Regular" w:hAnsi="Roboto Regular"/>
                <w:b/>
                <w:bCs/>
                <w:sz w:val="20"/>
                <w:szCs w:val="20"/>
              </w:rPr>
              <w:t xml:space="preserve">Issues related to waste containing nanomaterials and options for further work under the Basel Convention </w:t>
            </w:r>
          </w:p>
          <w:p w14:paraId="64272AEB" w14:textId="77777777" w:rsidR="001B6FFA" w:rsidRPr="00301266" w:rsidRDefault="001B6FFA" w:rsidP="001B6FFA">
            <w:pPr>
              <w:snapToGrid w:val="0"/>
              <w:spacing w:before="60" w:after="60"/>
              <w:rPr>
                <w:rFonts w:ascii="Roboto Regular" w:hAnsi="Roboto Regular"/>
                <w:b/>
                <w:bCs/>
                <w:sz w:val="20"/>
                <w:szCs w:val="20"/>
              </w:rPr>
            </w:pPr>
            <w:r w:rsidRPr="00301266">
              <w:rPr>
                <w:rFonts w:ascii="Roboto Regular" w:hAnsi="Roboto Regular"/>
                <w:sz w:val="20"/>
                <w:szCs w:val="20"/>
                <w:lang w:eastAsia="en-GB"/>
              </w:rPr>
              <w:t xml:space="preserve">Potential hazards posed by waste containing nanomaterials and the need for the ESM of such waste have become issues of intense policy interest at the national and international level in recent years. Reflecting this concern, in its decision BC-13/7, the Conference of the Parties to the Basel Convention requested the Secretariat to prepare a report compiling existing activities that address waste containing nanomaterials and identifying issues that may be relevant to the work </w:t>
            </w:r>
            <w:r w:rsidRPr="00301266">
              <w:rPr>
                <w:rFonts w:ascii="Roboto Regular" w:hAnsi="Roboto Regular"/>
                <w:sz w:val="20"/>
                <w:szCs w:val="20"/>
                <w:lang w:eastAsia="en-GB"/>
              </w:rPr>
              <w:lastRenderedPageBreak/>
              <w:t>under the Convention as well as options for further work that may be carried out within the scope of the Convention, in relation to such waste, for consideration by OEWG-11. This activity provides Parties with guidance on addressing waste containing nanomaterials.</w:t>
            </w:r>
          </w:p>
          <w:p w14:paraId="4DA66B69" w14:textId="77777777" w:rsidR="001B6FFA" w:rsidRPr="00301266" w:rsidRDefault="001B6FFA" w:rsidP="001B6FFA">
            <w:pPr>
              <w:snapToGrid w:val="0"/>
              <w:spacing w:before="60" w:after="60"/>
              <w:rPr>
                <w:rFonts w:ascii="Roboto Regular" w:hAnsi="Roboto Regular"/>
                <w:b/>
                <w:bCs/>
                <w:sz w:val="20"/>
                <w:szCs w:val="20"/>
              </w:rPr>
            </w:pPr>
            <w:r w:rsidRPr="00301266">
              <w:rPr>
                <w:rFonts w:ascii="Roboto Regular" w:hAnsi="Roboto Regular"/>
                <w:b/>
                <w:bCs/>
                <w:sz w:val="20"/>
                <w:szCs w:val="20"/>
              </w:rPr>
              <w:t>Issues related to plastic waste</w:t>
            </w:r>
          </w:p>
          <w:p w14:paraId="04738685" w14:textId="77777777" w:rsidR="001B6FFA" w:rsidRPr="00301266" w:rsidRDefault="001B6FFA" w:rsidP="001B6FFA">
            <w:pPr>
              <w:snapToGrid w:val="0"/>
              <w:spacing w:before="60" w:after="60"/>
              <w:rPr>
                <w:rFonts w:ascii="Roboto Regular" w:hAnsi="Roboto Regular"/>
                <w:sz w:val="20"/>
                <w:szCs w:val="20"/>
              </w:rPr>
            </w:pPr>
            <w:r w:rsidRPr="00301266">
              <w:rPr>
                <w:rFonts w:ascii="Roboto Regular" w:hAnsi="Roboto Regular"/>
                <w:sz w:val="20"/>
                <w:szCs w:val="20"/>
              </w:rPr>
              <w:t>Marine plastic litter is an environmental problem occurring on a global scale today. The ubiquitous transboundary movement of marine plastics and microplastics is becoming a major concern as their property of durability makes their debris remain intact for long period of time throughout the ocean. In line with its work programme for the biennium 2018-2019, the OEWG considered options available under the Basel Convention to further address marine plastic litter and microplastics (UNEP/CHWOEWG.11/INF/22) and developed a proposal for possible further actions for consideration at COP-14.</w:t>
            </w:r>
          </w:p>
          <w:p w14:paraId="5EFC5AF4" w14:textId="77777777" w:rsidR="001B6FFA" w:rsidRPr="00301266" w:rsidRDefault="001B6FFA" w:rsidP="001B6FFA">
            <w:pPr>
              <w:pStyle w:val="Level1"/>
              <w:numPr>
                <w:ilvl w:val="0"/>
                <w:numId w:val="0"/>
              </w:numPr>
              <w:snapToGrid w:val="0"/>
              <w:spacing w:before="60" w:after="60"/>
              <w:rPr>
                <w:rFonts w:ascii="Roboto Regular" w:hAnsi="Roboto Regular"/>
                <w:lang w:eastAsia="en-GB"/>
              </w:rPr>
            </w:pPr>
            <w:r w:rsidRPr="00301266">
              <w:rPr>
                <w:rFonts w:ascii="Roboto Regular" w:hAnsi="Roboto Regular"/>
                <w:lang w:eastAsia="en-GB"/>
              </w:rPr>
              <w:t xml:space="preserve">In addressing continuous needs of Parties, the Secretariat provides technical advice, either through guidelines, emails or meetings. Inputs into various processes at the international levels are also required, for instance with OECD, UNEP, SAICM, the  Minamata Convention on Mercury, etc. </w:t>
            </w:r>
          </w:p>
          <w:p w14:paraId="4CC23706" w14:textId="123A3D27" w:rsidR="000272A3" w:rsidRPr="00301266" w:rsidRDefault="001B6FFA" w:rsidP="001B6FFA">
            <w:pPr>
              <w:rPr>
                <w:rFonts w:ascii="Roboto Regular" w:hAnsi="Roboto Regular" w:cs="Arial"/>
                <w:noProof/>
                <w:sz w:val="20"/>
                <w:szCs w:val="20"/>
              </w:rPr>
            </w:pPr>
            <w:r w:rsidRPr="00301266">
              <w:rPr>
                <w:rFonts w:ascii="Roboto Regular" w:hAnsi="Roboto Regular"/>
                <w:sz w:val="20"/>
                <w:szCs w:val="20"/>
              </w:rPr>
              <w:t>This activity will also be implemented in coordination with activities listed in the fact sheet Activity 14 (Training and capacity-building activities to enhance the implementation of the Basel Convention).</w:t>
            </w:r>
          </w:p>
        </w:tc>
      </w:tr>
      <w:tr w:rsidR="000272A3" w:rsidRPr="00301266" w14:paraId="7D3DC7F5" w14:textId="77777777" w:rsidTr="00E40F38">
        <w:trPr>
          <w:trHeight w:val="227"/>
        </w:trPr>
        <w:tc>
          <w:tcPr>
            <w:tcW w:w="9923" w:type="dxa"/>
            <w:gridSpan w:val="6"/>
            <w:tcBorders>
              <w:bottom w:val="nil"/>
            </w:tcBorders>
            <w:shd w:val="clear" w:color="auto" w:fill="C7E3D8"/>
            <w:vAlign w:val="center"/>
          </w:tcPr>
          <w:p w14:paraId="2B5F2C93" w14:textId="77777777" w:rsidR="000272A3" w:rsidRPr="00301266" w:rsidRDefault="000272A3" w:rsidP="0088010B">
            <w:pPr>
              <w:rPr>
                <w:rFonts w:ascii="Roboto Regular" w:hAnsi="Roboto Regular" w:cs="Arial"/>
                <w:b/>
                <w:sz w:val="20"/>
                <w:szCs w:val="20"/>
              </w:rPr>
            </w:pPr>
            <w:r w:rsidRPr="00301266">
              <w:rPr>
                <w:rFonts w:ascii="Roboto Regular" w:hAnsi="Roboto Regular" w:cs="Arial"/>
                <w:b/>
                <w:sz w:val="20"/>
                <w:szCs w:val="20"/>
              </w:rPr>
              <w:lastRenderedPageBreak/>
              <w:t>Outcomes and indicators of achievement</w:t>
            </w:r>
          </w:p>
        </w:tc>
      </w:tr>
      <w:tr w:rsidR="00301266" w:rsidRPr="00301266" w14:paraId="36B1C3F8" w14:textId="77777777" w:rsidTr="00E40F38">
        <w:trPr>
          <w:trHeight w:val="77"/>
        </w:trPr>
        <w:tc>
          <w:tcPr>
            <w:tcW w:w="9923" w:type="dxa"/>
            <w:gridSpan w:val="6"/>
            <w:tcBorders>
              <w:top w:val="nil"/>
              <w:bottom w:val="single" w:sz="4" w:space="0" w:color="auto"/>
            </w:tcBorders>
          </w:tcPr>
          <w:p w14:paraId="7EAAF54F" w14:textId="77777777" w:rsidR="00301266" w:rsidRPr="00301266" w:rsidRDefault="00301266" w:rsidP="00301266">
            <w:pPr>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 xml:space="preserve">Component 20.1: </w:t>
            </w:r>
            <w:r w:rsidRPr="00301266">
              <w:rPr>
                <w:rFonts w:ascii="Roboto Regular" w:hAnsi="Roboto Regular"/>
                <w:b/>
                <w:bCs/>
                <w:sz w:val="20"/>
                <w:szCs w:val="20"/>
              </w:rPr>
              <w:t>Technical guidelines for environmentally sound management of hazardous waste and on transboundary movements of e-waste and used equipment</w:t>
            </w:r>
          </w:p>
          <w:p w14:paraId="7F91D93F" w14:textId="77777777" w:rsidR="00301266" w:rsidRPr="00301266" w:rsidRDefault="00301266" w:rsidP="00301266">
            <w:pPr>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Outcomes:</w:t>
            </w:r>
          </w:p>
          <w:p w14:paraId="19484857" w14:textId="77777777" w:rsidR="00301266" w:rsidRPr="00301266" w:rsidRDefault="00301266" w:rsidP="00301266">
            <w:pPr>
              <w:snapToGrid w:val="0"/>
              <w:spacing w:before="60" w:after="60"/>
              <w:rPr>
                <w:rFonts w:ascii="Roboto Regular" w:hAnsi="Roboto Regular"/>
                <w:sz w:val="20"/>
                <w:szCs w:val="20"/>
                <w:lang w:eastAsia="en-GB"/>
              </w:rPr>
            </w:pPr>
            <w:r w:rsidRPr="00301266">
              <w:rPr>
                <w:rFonts w:ascii="Roboto Regular" w:hAnsi="Roboto Regular"/>
                <w:sz w:val="20"/>
                <w:szCs w:val="20"/>
                <w:lang w:eastAsia="en-GB"/>
              </w:rPr>
              <w:t xml:space="preserve">Coordinated development of technical guidelines on the ESM of different waste streams and on waste management technologies. Parties to the Basel and to the Stockholm conventions are better equipped with technical information on the sound management of chemicals and hazardous wastes, including POP wastes. </w:t>
            </w:r>
          </w:p>
          <w:p w14:paraId="050BEE3A" w14:textId="77777777" w:rsidR="00301266" w:rsidRPr="00301266" w:rsidRDefault="00301266" w:rsidP="00301266">
            <w:pPr>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Activities:</w:t>
            </w:r>
          </w:p>
          <w:tbl>
            <w:tblPr>
              <w:tblW w:w="9360" w:type="dxa"/>
              <w:tblLook w:val="04A0" w:firstRow="1" w:lastRow="0" w:firstColumn="1" w:lastColumn="0" w:noHBand="0" w:noVBand="1"/>
            </w:tblPr>
            <w:tblGrid>
              <w:gridCol w:w="9360"/>
            </w:tblGrid>
            <w:tr w:rsidR="00301266" w:rsidRPr="00301266" w14:paraId="75856205" w14:textId="77777777" w:rsidTr="00BA32B3">
              <w:trPr>
                <w:trHeight w:val="200"/>
              </w:trPr>
              <w:tc>
                <w:tcPr>
                  <w:tcW w:w="9360" w:type="dxa"/>
                  <w:tcBorders>
                    <w:top w:val="nil"/>
                    <w:left w:val="nil"/>
                    <w:bottom w:val="nil"/>
                    <w:right w:val="nil"/>
                  </w:tcBorders>
                  <w:shd w:val="clear" w:color="auto" w:fill="auto"/>
                  <w:noWrap/>
                  <w:hideMark/>
                </w:tcPr>
                <w:p w14:paraId="35BED886" w14:textId="77777777" w:rsidR="00301266" w:rsidRPr="00301266" w:rsidRDefault="00301266" w:rsidP="007971D9">
                  <w:pPr>
                    <w:pStyle w:val="ListParagraph"/>
                    <w:numPr>
                      <w:ilvl w:val="0"/>
                      <w:numId w:val="5"/>
                    </w:numPr>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Prepare electronic versions of the technical guidelines using the standard cover page, and UN layout;</w:t>
                  </w:r>
                </w:p>
              </w:tc>
            </w:tr>
            <w:tr w:rsidR="00301266" w:rsidRPr="00301266" w14:paraId="55FC6B02" w14:textId="77777777" w:rsidTr="00BA32B3">
              <w:trPr>
                <w:trHeight w:val="182"/>
              </w:trPr>
              <w:tc>
                <w:tcPr>
                  <w:tcW w:w="9360" w:type="dxa"/>
                  <w:tcBorders>
                    <w:top w:val="nil"/>
                    <w:left w:val="nil"/>
                    <w:bottom w:val="nil"/>
                    <w:right w:val="nil"/>
                  </w:tcBorders>
                  <w:shd w:val="clear" w:color="auto" w:fill="auto"/>
                  <w:noWrap/>
                  <w:hideMark/>
                </w:tcPr>
                <w:p w14:paraId="190E55C0" w14:textId="77777777" w:rsidR="00301266" w:rsidRPr="00301266" w:rsidRDefault="00301266" w:rsidP="007971D9">
                  <w:pPr>
                    <w:pStyle w:val="ListParagraph"/>
                    <w:numPr>
                      <w:ilvl w:val="0"/>
                      <w:numId w:val="5"/>
                    </w:numPr>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Organize a face-to-face meeting of the small intersessional working group on POPs wastes;</w:t>
                  </w:r>
                </w:p>
              </w:tc>
            </w:tr>
            <w:tr w:rsidR="00301266" w:rsidRPr="00301266" w14:paraId="1876DDED" w14:textId="77777777" w:rsidTr="00BA32B3">
              <w:trPr>
                <w:trHeight w:val="155"/>
              </w:trPr>
              <w:tc>
                <w:tcPr>
                  <w:tcW w:w="9360" w:type="dxa"/>
                  <w:tcBorders>
                    <w:top w:val="nil"/>
                    <w:left w:val="nil"/>
                    <w:right w:val="nil"/>
                  </w:tcBorders>
                  <w:shd w:val="clear" w:color="auto" w:fill="auto"/>
                  <w:noWrap/>
                  <w:hideMark/>
                </w:tcPr>
                <w:p w14:paraId="4FA217C6" w14:textId="77777777" w:rsidR="00301266" w:rsidRPr="00301266" w:rsidRDefault="00301266" w:rsidP="007971D9">
                  <w:pPr>
                    <w:pStyle w:val="ListParagraph"/>
                    <w:numPr>
                      <w:ilvl w:val="0"/>
                      <w:numId w:val="5"/>
                    </w:numPr>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Organize a face-to-face meeting of the small intersessional working group on waste management technologies;</w:t>
                  </w:r>
                </w:p>
              </w:tc>
            </w:tr>
            <w:tr w:rsidR="00301266" w:rsidRPr="00301266" w14:paraId="0D68EABE" w14:textId="77777777" w:rsidTr="00BA32B3">
              <w:trPr>
                <w:trHeight w:val="209"/>
              </w:trPr>
              <w:tc>
                <w:tcPr>
                  <w:tcW w:w="9360" w:type="dxa"/>
                  <w:shd w:val="clear" w:color="auto" w:fill="auto"/>
                  <w:noWrap/>
                  <w:hideMark/>
                </w:tcPr>
                <w:p w14:paraId="232C7C28" w14:textId="77777777" w:rsidR="00301266" w:rsidRPr="00301266" w:rsidRDefault="00301266" w:rsidP="007971D9">
                  <w:pPr>
                    <w:pStyle w:val="ListParagraph"/>
                    <w:numPr>
                      <w:ilvl w:val="0"/>
                      <w:numId w:val="5"/>
                    </w:numPr>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Organize a face-to-face meeting of the small intersessional working group on plastic wastes;</w:t>
                  </w:r>
                </w:p>
                <w:p w14:paraId="7CA3C0B3" w14:textId="77777777" w:rsidR="00301266" w:rsidRPr="00301266" w:rsidRDefault="00301266" w:rsidP="007971D9">
                  <w:pPr>
                    <w:pStyle w:val="ListParagraph"/>
                    <w:numPr>
                      <w:ilvl w:val="0"/>
                      <w:numId w:val="5"/>
                    </w:numPr>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Translate technical guidelines approved by the COP;</w:t>
                  </w:r>
                </w:p>
                <w:p w14:paraId="31249FBE" w14:textId="77777777" w:rsidR="00301266" w:rsidRPr="00301266" w:rsidRDefault="00301266" w:rsidP="007971D9">
                  <w:pPr>
                    <w:pStyle w:val="ListParagraph"/>
                    <w:numPr>
                      <w:ilvl w:val="0"/>
                      <w:numId w:val="5"/>
                    </w:numPr>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 xml:space="preserve">Update existing technical guidelines to reflect newly listed POPs; </w:t>
                  </w:r>
                </w:p>
                <w:p w14:paraId="65111AA8" w14:textId="77777777" w:rsidR="00301266" w:rsidRPr="00301266" w:rsidRDefault="00301266" w:rsidP="007971D9">
                  <w:pPr>
                    <w:pStyle w:val="ListParagraph"/>
                    <w:numPr>
                      <w:ilvl w:val="0"/>
                      <w:numId w:val="5"/>
                    </w:numPr>
                    <w:snapToGrid w:val="0"/>
                    <w:contextualSpacing w:val="0"/>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 xml:space="preserve">Update two technical guidelines on waste management technologies (D5 and D10); </w:t>
                  </w:r>
                </w:p>
                <w:p w14:paraId="5C3888AE" w14:textId="77777777" w:rsidR="00301266" w:rsidRPr="00301266" w:rsidRDefault="00301266" w:rsidP="007971D9">
                  <w:pPr>
                    <w:pStyle w:val="ListParagraph"/>
                    <w:numPr>
                      <w:ilvl w:val="0"/>
                      <w:numId w:val="5"/>
                    </w:numPr>
                    <w:snapToGrid w:val="0"/>
                    <w:contextualSpacing w:val="0"/>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Update the technical guidelines on plastic wastes</w:t>
                  </w:r>
                </w:p>
                <w:p w14:paraId="7FE05964" w14:textId="77777777" w:rsidR="00301266" w:rsidRPr="00301266" w:rsidRDefault="00301266" w:rsidP="007971D9">
                  <w:pPr>
                    <w:pStyle w:val="ListParagraph"/>
                    <w:numPr>
                      <w:ilvl w:val="0"/>
                      <w:numId w:val="5"/>
                    </w:numPr>
                    <w:snapToGrid w:val="0"/>
                    <w:contextualSpacing w:val="0"/>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Update the technical guidelines on mercury wastes</w:t>
                  </w:r>
                </w:p>
                <w:p w14:paraId="5CD25DE4" w14:textId="77777777" w:rsidR="00301266" w:rsidRPr="00301266" w:rsidRDefault="00301266" w:rsidP="007971D9">
                  <w:pPr>
                    <w:pStyle w:val="ListParagraph"/>
                    <w:numPr>
                      <w:ilvl w:val="0"/>
                      <w:numId w:val="5"/>
                    </w:numPr>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Update the technical guidelines on e-waste and used equipment.</w:t>
                  </w:r>
                </w:p>
              </w:tc>
            </w:tr>
            <w:tr w:rsidR="00301266" w:rsidRPr="00301266" w14:paraId="2942C4B7" w14:textId="77777777" w:rsidTr="00BA32B3">
              <w:trPr>
                <w:trHeight w:val="300"/>
              </w:trPr>
              <w:tc>
                <w:tcPr>
                  <w:tcW w:w="9360" w:type="dxa"/>
                  <w:tcBorders>
                    <w:top w:val="nil"/>
                    <w:left w:val="nil"/>
                    <w:bottom w:val="nil"/>
                    <w:right w:val="nil"/>
                  </w:tcBorders>
                  <w:shd w:val="clear" w:color="auto" w:fill="auto"/>
                  <w:noWrap/>
                </w:tcPr>
                <w:p w14:paraId="0D02389E" w14:textId="77777777" w:rsidR="00301266" w:rsidRPr="00301266" w:rsidRDefault="00301266" w:rsidP="00301266">
                  <w:pPr>
                    <w:snapToGrid w:val="0"/>
                    <w:rPr>
                      <w:rFonts w:ascii="Roboto Regular" w:eastAsia="Times New Roman" w:hAnsi="Roboto Regular"/>
                      <w:color w:val="000000"/>
                      <w:sz w:val="20"/>
                      <w:szCs w:val="20"/>
                    </w:rPr>
                  </w:pPr>
                </w:p>
              </w:tc>
            </w:tr>
          </w:tbl>
          <w:p w14:paraId="48E28FC1" w14:textId="3B93B6F6" w:rsidR="00301266" w:rsidRPr="00301266" w:rsidRDefault="00301266" w:rsidP="00301266">
            <w:pPr>
              <w:rPr>
                <w:rFonts w:ascii="Roboto Regular" w:hAnsi="Roboto Regular" w:cs="Arial"/>
                <w:sz w:val="20"/>
                <w:szCs w:val="20"/>
                <w:lang w:val="en-GB"/>
              </w:rPr>
            </w:pPr>
          </w:p>
        </w:tc>
      </w:tr>
      <w:tr w:rsidR="00301266" w:rsidRPr="00301266" w14:paraId="27E4616A" w14:textId="77777777" w:rsidTr="00E40F38">
        <w:trPr>
          <w:trHeight w:val="420"/>
        </w:trPr>
        <w:tc>
          <w:tcPr>
            <w:tcW w:w="4400" w:type="dxa"/>
            <w:gridSpan w:val="3"/>
            <w:tcBorders>
              <w:top w:val="single" w:sz="4" w:space="0" w:color="auto"/>
              <w:bottom w:val="single" w:sz="4" w:space="0" w:color="000000" w:themeColor="text1"/>
              <w:right w:val="single" w:sz="4" w:space="0" w:color="auto"/>
            </w:tcBorders>
          </w:tcPr>
          <w:p w14:paraId="71A26469" w14:textId="77777777" w:rsidR="00301266" w:rsidRPr="00301266" w:rsidRDefault="00301266" w:rsidP="00301266">
            <w:pPr>
              <w:tabs>
                <w:tab w:val="left" w:pos="1157"/>
              </w:tabs>
              <w:suppressAutoHyphens/>
              <w:snapToGrid w:val="0"/>
              <w:spacing w:before="60" w:after="60"/>
              <w:rPr>
                <w:rFonts w:ascii="Roboto Regular" w:hAnsi="Roboto Regular"/>
                <w:i/>
                <w:sz w:val="20"/>
                <w:szCs w:val="20"/>
                <w:lang w:eastAsia="en-GB"/>
              </w:rPr>
            </w:pPr>
            <w:r w:rsidRPr="00301266">
              <w:rPr>
                <w:rFonts w:ascii="Roboto Regular" w:hAnsi="Roboto Regular"/>
                <w:b/>
                <w:sz w:val="20"/>
                <w:szCs w:val="20"/>
                <w:lang w:eastAsia="en-GB"/>
              </w:rPr>
              <w:t xml:space="preserve">Indicators of achievement: </w:t>
            </w:r>
          </w:p>
          <w:p w14:paraId="7DF314B0" w14:textId="77777777" w:rsidR="00301266" w:rsidRPr="00301266" w:rsidRDefault="00301266" w:rsidP="007971D9">
            <w:pPr>
              <w:numPr>
                <w:ilvl w:val="0"/>
                <w:numId w:val="6"/>
              </w:numPr>
              <w:snapToGrid w:val="0"/>
              <w:spacing w:before="60" w:after="60"/>
              <w:rPr>
                <w:rFonts w:ascii="Roboto Regular" w:hAnsi="Roboto Regular"/>
                <w:sz w:val="20"/>
                <w:szCs w:val="20"/>
              </w:rPr>
            </w:pPr>
            <w:r w:rsidRPr="00301266">
              <w:rPr>
                <w:rFonts w:ascii="Roboto Regular" w:hAnsi="Roboto Regular"/>
                <w:sz w:val="20"/>
                <w:szCs w:val="20"/>
              </w:rPr>
              <w:t>Technical guidelines on the ESM of POPs wastes are developed or updated, and made available to Parties and others;</w:t>
            </w:r>
          </w:p>
          <w:p w14:paraId="716DB093" w14:textId="405EAE18" w:rsidR="00301266" w:rsidRPr="00301266" w:rsidRDefault="00301266" w:rsidP="007971D9">
            <w:pPr>
              <w:numPr>
                <w:ilvl w:val="0"/>
                <w:numId w:val="6"/>
              </w:numPr>
              <w:snapToGrid w:val="0"/>
              <w:spacing w:before="60" w:after="60"/>
              <w:rPr>
                <w:rFonts w:ascii="Roboto Regular" w:hAnsi="Roboto Regular"/>
                <w:sz w:val="20"/>
                <w:szCs w:val="20"/>
              </w:rPr>
            </w:pPr>
            <w:r w:rsidRPr="00301266">
              <w:rPr>
                <w:rFonts w:ascii="Roboto Regular" w:hAnsi="Roboto Regular"/>
                <w:sz w:val="20"/>
                <w:szCs w:val="20"/>
              </w:rPr>
              <w:t>Technical guidelines on different waste streams or technologies are developed or updated, and made available to Parties and others;</w:t>
            </w:r>
          </w:p>
          <w:p w14:paraId="00D9F7B6" w14:textId="11DB0E14" w:rsidR="00301266" w:rsidRPr="00301266" w:rsidRDefault="00301266" w:rsidP="007971D9">
            <w:pPr>
              <w:numPr>
                <w:ilvl w:val="0"/>
                <w:numId w:val="6"/>
              </w:numPr>
              <w:snapToGrid w:val="0"/>
              <w:spacing w:before="60" w:after="60"/>
              <w:rPr>
                <w:rFonts w:ascii="Roboto Regular" w:hAnsi="Roboto Regular"/>
                <w:sz w:val="20"/>
                <w:szCs w:val="20"/>
              </w:rPr>
            </w:pPr>
            <w:r w:rsidRPr="00301266">
              <w:rPr>
                <w:rFonts w:ascii="Roboto Regular" w:hAnsi="Roboto Regular"/>
                <w:sz w:val="20"/>
                <w:szCs w:val="20"/>
              </w:rPr>
              <w:t>Number of women and men who are members of the Small Intersessional Working Groups.</w:t>
            </w:r>
            <w:r w:rsidRPr="00301266">
              <w:rPr>
                <w:rFonts w:ascii="Roboto Regular" w:hAnsi="Roboto Regular"/>
                <w:i/>
                <w:sz w:val="20"/>
                <w:szCs w:val="20"/>
              </w:rPr>
              <w:t xml:space="preserve"> </w:t>
            </w:r>
          </w:p>
        </w:tc>
        <w:tc>
          <w:tcPr>
            <w:tcW w:w="5523" w:type="dxa"/>
            <w:gridSpan w:val="3"/>
            <w:tcBorders>
              <w:top w:val="single" w:sz="4" w:space="0" w:color="auto"/>
              <w:left w:val="single" w:sz="4" w:space="0" w:color="auto"/>
              <w:bottom w:val="single" w:sz="4" w:space="0" w:color="000000" w:themeColor="text1"/>
            </w:tcBorders>
          </w:tcPr>
          <w:p w14:paraId="2812FA7E" w14:textId="77777777" w:rsidR="00301266" w:rsidRPr="00301266" w:rsidRDefault="00301266" w:rsidP="00301266">
            <w:pPr>
              <w:snapToGrid w:val="0"/>
              <w:spacing w:before="60" w:after="60"/>
              <w:rPr>
                <w:rFonts w:ascii="Roboto Regular" w:hAnsi="Roboto Regular"/>
                <w:sz w:val="20"/>
                <w:szCs w:val="20"/>
              </w:rPr>
            </w:pPr>
            <w:r w:rsidRPr="00301266">
              <w:rPr>
                <w:rFonts w:ascii="Roboto Regular" w:hAnsi="Roboto Regular"/>
                <w:b/>
                <w:sz w:val="20"/>
                <w:szCs w:val="20"/>
              </w:rPr>
              <w:t>Means of verification:</w:t>
            </w:r>
            <w:r w:rsidRPr="00301266">
              <w:rPr>
                <w:rFonts w:ascii="Roboto Regular" w:hAnsi="Roboto Regular"/>
                <w:i/>
                <w:sz w:val="20"/>
                <w:szCs w:val="20"/>
                <w:lang w:eastAsia="en-GB"/>
              </w:rPr>
              <w:t xml:space="preserve"> </w:t>
            </w:r>
          </w:p>
          <w:p w14:paraId="7B2085AB" w14:textId="77777777" w:rsidR="00301266" w:rsidRPr="00301266" w:rsidRDefault="00301266" w:rsidP="007971D9">
            <w:pPr>
              <w:numPr>
                <w:ilvl w:val="0"/>
                <w:numId w:val="7"/>
              </w:numPr>
              <w:snapToGrid w:val="0"/>
              <w:spacing w:before="60" w:after="60"/>
              <w:rPr>
                <w:rFonts w:ascii="Roboto Regular" w:hAnsi="Roboto Regular"/>
                <w:sz w:val="20"/>
                <w:szCs w:val="20"/>
              </w:rPr>
            </w:pPr>
            <w:r w:rsidRPr="00301266">
              <w:rPr>
                <w:rFonts w:ascii="Roboto Regular" w:hAnsi="Roboto Regular"/>
                <w:sz w:val="20"/>
                <w:szCs w:val="20"/>
              </w:rPr>
              <w:t>Technical guidelines on the ESM of POPs waste available on the Basel Convention website;</w:t>
            </w:r>
          </w:p>
          <w:p w14:paraId="62CB0A3A" w14:textId="77777777" w:rsidR="00301266" w:rsidRPr="00301266" w:rsidRDefault="00301266" w:rsidP="007971D9">
            <w:pPr>
              <w:numPr>
                <w:ilvl w:val="0"/>
                <w:numId w:val="7"/>
              </w:numPr>
              <w:snapToGrid w:val="0"/>
              <w:spacing w:before="60" w:after="60"/>
              <w:rPr>
                <w:rFonts w:ascii="Roboto Regular" w:hAnsi="Roboto Regular"/>
                <w:sz w:val="20"/>
                <w:szCs w:val="20"/>
              </w:rPr>
            </w:pPr>
            <w:r w:rsidRPr="00301266">
              <w:rPr>
                <w:rFonts w:ascii="Roboto Regular" w:hAnsi="Roboto Regular"/>
                <w:sz w:val="20"/>
                <w:szCs w:val="20"/>
              </w:rPr>
              <w:t>Technical guidelines on different waste streams or technologies available on the Basel Convention website;</w:t>
            </w:r>
          </w:p>
          <w:p w14:paraId="25FE4D33" w14:textId="26B75881" w:rsidR="00301266" w:rsidRPr="00301266" w:rsidRDefault="00301266" w:rsidP="007971D9">
            <w:pPr>
              <w:numPr>
                <w:ilvl w:val="0"/>
                <w:numId w:val="7"/>
              </w:numPr>
              <w:snapToGrid w:val="0"/>
              <w:spacing w:before="60" w:after="60"/>
              <w:rPr>
                <w:rFonts w:ascii="Roboto Regular" w:hAnsi="Roboto Regular"/>
                <w:sz w:val="20"/>
                <w:szCs w:val="20"/>
              </w:rPr>
            </w:pPr>
            <w:r w:rsidRPr="00301266">
              <w:rPr>
                <w:rFonts w:ascii="Roboto Regular" w:hAnsi="Roboto Regular"/>
                <w:sz w:val="20"/>
                <w:szCs w:val="20"/>
              </w:rPr>
              <w:t xml:space="preserve">Membership of the </w:t>
            </w:r>
            <w:r w:rsidRPr="00301266">
              <w:rPr>
                <w:rFonts w:ascii="Roboto Regular" w:hAnsi="Roboto Regular"/>
                <w:bCs/>
                <w:sz w:val="20"/>
                <w:szCs w:val="20"/>
              </w:rPr>
              <w:t>Small Intersessional Working Groups</w:t>
            </w:r>
            <w:r w:rsidRPr="00301266" w:rsidDel="0047581A">
              <w:rPr>
                <w:rFonts w:ascii="Roboto Regular" w:hAnsi="Roboto Regular"/>
                <w:bCs/>
                <w:sz w:val="20"/>
                <w:szCs w:val="20"/>
              </w:rPr>
              <w:t xml:space="preserve"> </w:t>
            </w:r>
            <w:r w:rsidRPr="00301266">
              <w:rPr>
                <w:rFonts w:ascii="Roboto Regular" w:hAnsi="Roboto Regular"/>
                <w:bCs/>
                <w:sz w:val="20"/>
                <w:szCs w:val="20"/>
              </w:rPr>
              <w:t xml:space="preserve">available </w:t>
            </w:r>
            <w:r w:rsidRPr="00301266">
              <w:rPr>
                <w:rFonts w:ascii="Roboto Regular" w:hAnsi="Roboto Regular"/>
                <w:sz w:val="20"/>
                <w:szCs w:val="20"/>
              </w:rPr>
              <w:t>on the Basel Convention website.</w:t>
            </w:r>
          </w:p>
        </w:tc>
      </w:tr>
      <w:tr w:rsidR="00301266" w:rsidRPr="00301266" w14:paraId="36AACD33" w14:textId="77777777" w:rsidTr="00E40F38">
        <w:trPr>
          <w:trHeight w:val="77"/>
        </w:trPr>
        <w:tc>
          <w:tcPr>
            <w:tcW w:w="9923" w:type="dxa"/>
            <w:gridSpan w:val="6"/>
            <w:tcBorders>
              <w:top w:val="nil"/>
              <w:bottom w:val="single" w:sz="4" w:space="0" w:color="auto"/>
            </w:tcBorders>
          </w:tcPr>
          <w:p w14:paraId="40248DB6" w14:textId="77777777" w:rsidR="00301266" w:rsidRPr="00301266" w:rsidRDefault="00301266" w:rsidP="00301266">
            <w:pPr>
              <w:keepNext/>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Component</w:t>
            </w:r>
            <w:bookmarkStart w:id="0" w:name="_GoBack"/>
            <w:bookmarkEnd w:id="0"/>
            <w:r w:rsidRPr="00301266">
              <w:rPr>
                <w:rFonts w:ascii="Roboto Regular" w:hAnsi="Roboto Regular"/>
                <w:b/>
                <w:sz w:val="20"/>
                <w:szCs w:val="20"/>
                <w:lang w:eastAsia="en-GB"/>
              </w:rPr>
              <w:t xml:space="preserve"> 20.3: </w:t>
            </w:r>
            <w:r w:rsidRPr="00301266">
              <w:rPr>
                <w:rFonts w:ascii="Roboto Regular" w:hAnsi="Roboto Regular"/>
                <w:b/>
                <w:bCs/>
                <w:sz w:val="20"/>
                <w:szCs w:val="20"/>
              </w:rPr>
              <w:t>Control system for transboundary movements (E-notification)</w:t>
            </w:r>
          </w:p>
          <w:p w14:paraId="555D6791" w14:textId="77777777" w:rsidR="00301266" w:rsidRPr="00301266" w:rsidRDefault="00301266" w:rsidP="00301266">
            <w:pPr>
              <w:keepNext/>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Outcomes:</w:t>
            </w:r>
          </w:p>
          <w:p w14:paraId="7B5B0774" w14:textId="77777777" w:rsidR="00301266" w:rsidRPr="00301266" w:rsidRDefault="00301266" w:rsidP="00301266">
            <w:pPr>
              <w:keepNext/>
              <w:snapToGrid w:val="0"/>
              <w:spacing w:before="60" w:after="60"/>
              <w:rPr>
                <w:rFonts w:ascii="Roboto Regular" w:hAnsi="Roboto Regular"/>
                <w:sz w:val="20"/>
                <w:szCs w:val="20"/>
                <w:lang w:eastAsia="en-GB"/>
              </w:rPr>
            </w:pPr>
            <w:r w:rsidRPr="00301266">
              <w:rPr>
                <w:rFonts w:ascii="Roboto Regular" w:hAnsi="Roboto Regular"/>
                <w:sz w:val="20"/>
                <w:szCs w:val="20"/>
                <w:lang w:eastAsia="en-GB"/>
              </w:rPr>
              <w:t>Parties have a shared understanding of the expected benefits of an initiative to establish a Basel Convention system that allows for the automation of processes and the electronic exchange of information relating to the notification and movement of hazardous and other wastes and of options for such a system.</w:t>
            </w:r>
          </w:p>
          <w:p w14:paraId="6E39EEEA" w14:textId="77777777" w:rsidR="00301266" w:rsidRPr="00301266" w:rsidRDefault="00301266" w:rsidP="00301266">
            <w:pPr>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Activities</w:t>
            </w:r>
            <w:r w:rsidRPr="00301266">
              <w:rPr>
                <w:rFonts w:ascii="Roboto Regular" w:eastAsia="Times New Roman" w:hAnsi="Roboto Regular"/>
                <w:b/>
                <w:color w:val="000000"/>
                <w:sz w:val="20"/>
                <w:szCs w:val="20"/>
              </w:rPr>
              <w:t xml:space="preserve"> </w:t>
            </w:r>
            <w:r w:rsidRPr="00301266">
              <w:rPr>
                <w:rFonts w:ascii="Roboto Regular" w:hAnsi="Roboto Regular"/>
                <w:b/>
                <w:sz w:val="20"/>
                <w:szCs w:val="20"/>
              </w:rPr>
              <w:t>(subject to the availability of funding)</w:t>
            </w:r>
            <w:r w:rsidRPr="00301266">
              <w:rPr>
                <w:rFonts w:ascii="Roboto Regular" w:hAnsi="Roboto Regular"/>
                <w:b/>
                <w:sz w:val="20"/>
                <w:szCs w:val="20"/>
                <w:lang w:eastAsia="en-GB"/>
              </w:rPr>
              <w:t>:</w:t>
            </w:r>
          </w:p>
          <w:tbl>
            <w:tblPr>
              <w:tblW w:w="8496" w:type="dxa"/>
              <w:tblLook w:val="04A0" w:firstRow="1" w:lastRow="0" w:firstColumn="1" w:lastColumn="0" w:noHBand="0" w:noVBand="1"/>
            </w:tblPr>
            <w:tblGrid>
              <w:gridCol w:w="8496"/>
            </w:tblGrid>
            <w:tr w:rsidR="00301266" w:rsidRPr="00301266" w14:paraId="7DF88EBE" w14:textId="77777777" w:rsidTr="00BA32B3">
              <w:trPr>
                <w:trHeight w:val="300"/>
              </w:trPr>
              <w:tc>
                <w:tcPr>
                  <w:tcW w:w="8496" w:type="dxa"/>
                  <w:tcBorders>
                    <w:top w:val="nil"/>
                    <w:left w:val="nil"/>
                    <w:bottom w:val="nil"/>
                    <w:right w:val="nil"/>
                  </w:tcBorders>
                  <w:shd w:val="clear" w:color="auto" w:fill="auto"/>
                  <w:noWrap/>
                  <w:hideMark/>
                </w:tcPr>
                <w:p w14:paraId="3F8F77ED" w14:textId="77777777" w:rsidR="00301266" w:rsidRPr="00301266" w:rsidRDefault="00301266" w:rsidP="007971D9">
                  <w:pPr>
                    <w:pStyle w:val="ListParagraph"/>
                    <w:numPr>
                      <w:ilvl w:val="0"/>
                      <w:numId w:val="8"/>
                    </w:numPr>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Prepare a report on electronic systems for information exchange on the transboundary movements of hazardous waste and other wastes;</w:t>
                  </w:r>
                </w:p>
              </w:tc>
            </w:tr>
            <w:tr w:rsidR="00301266" w:rsidRPr="00301266" w14:paraId="7C959054" w14:textId="77777777" w:rsidTr="00BA32B3">
              <w:trPr>
                <w:trHeight w:val="300"/>
              </w:trPr>
              <w:tc>
                <w:tcPr>
                  <w:tcW w:w="8496" w:type="dxa"/>
                  <w:tcBorders>
                    <w:top w:val="nil"/>
                    <w:left w:val="nil"/>
                    <w:bottom w:val="nil"/>
                    <w:right w:val="nil"/>
                  </w:tcBorders>
                  <w:shd w:val="clear" w:color="auto" w:fill="auto"/>
                  <w:noWrap/>
                  <w:hideMark/>
                </w:tcPr>
                <w:p w14:paraId="43891273" w14:textId="77777777" w:rsidR="00301266" w:rsidRPr="00301266" w:rsidRDefault="00301266" w:rsidP="007971D9">
                  <w:pPr>
                    <w:pStyle w:val="ListParagraph"/>
                    <w:numPr>
                      <w:ilvl w:val="0"/>
                      <w:numId w:val="8"/>
                    </w:numPr>
                    <w:rPr>
                      <w:rFonts w:ascii="Roboto Regular" w:eastAsia="Times New Roman" w:hAnsi="Roboto Regular"/>
                      <w:color w:val="000000"/>
                      <w:sz w:val="20"/>
                      <w:szCs w:val="20"/>
                    </w:rPr>
                  </w:pPr>
                  <w:r w:rsidRPr="00301266">
                    <w:rPr>
                      <w:rFonts w:ascii="Roboto Regular" w:eastAsia="Times New Roman" w:hAnsi="Roboto Regular"/>
                      <w:color w:val="000000"/>
                      <w:sz w:val="20"/>
                      <w:szCs w:val="20"/>
                    </w:rPr>
                    <w:t>Consultative workshops on options for a Basel Convention system on the transboundary movements of wastes.</w:t>
                  </w:r>
                </w:p>
              </w:tc>
            </w:tr>
          </w:tbl>
          <w:p w14:paraId="56B69CD0" w14:textId="77777777" w:rsidR="00301266" w:rsidRPr="00301266" w:rsidRDefault="00301266" w:rsidP="00301266">
            <w:pPr>
              <w:rPr>
                <w:rFonts w:ascii="Roboto Regular" w:hAnsi="Roboto Regular" w:cs="Arial"/>
                <w:sz w:val="20"/>
                <w:szCs w:val="20"/>
              </w:rPr>
            </w:pPr>
          </w:p>
        </w:tc>
      </w:tr>
      <w:tr w:rsidR="00301266" w:rsidRPr="00301266" w14:paraId="7E7278F2" w14:textId="77777777" w:rsidTr="00E40F38">
        <w:trPr>
          <w:trHeight w:val="420"/>
        </w:trPr>
        <w:tc>
          <w:tcPr>
            <w:tcW w:w="4400" w:type="dxa"/>
            <w:gridSpan w:val="3"/>
            <w:tcBorders>
              <w:top w:val="single" w:sz="4" w:space="0" w:color="auto"/>
              <w:bottom w:val="single" w:sz="4" w:space="0" w:color="000000" w:themeColor="text1"/>
              <w:right w:val="single" w:sz="4" w:space="0" w:color="auto"/>
            </w:tcBorders>
          </w:tcPr>
          <w:p w14:paraId="762DB162" w14:textId="77777777" w:rsidR="00301266" w:rsidRPr="00301266" w:rsidRDefault="00301266" w:rsidP="00301266">
            <w:pPr>
              <w:tabs>
                <w:tab w:val="left" w:pos="1157"/>
              </w:tabs>
              <w:suppressAutoHyphens/>
              <w:snapToGrid w:val="0"/>
              <w:spacing w:before="60" w:after="60"/>
              <w:rPr>
                <w:rFonts w:ascii="Roboto Regular" w:hAnsi="Roboto Regular"/>
                <w:i/>
                <w:sz w:val="20"/>
                <w:szCs w:val="20"/>
                <w:lang w:eastAsia="en-GB"/>
              </w:rPr>
            </w:pPr>
            <w:r w:rsidRPr="00301266">
              <w:rPr>
                <w:rFonts w:ascii="Roboto Regular" w:hAnsi="Roboto Regular"/>
                <w:b/>
                <w:sz w:val="20"/>
                <w:szCs w:val="20"/>
                <w:lang w:eastAsia="en-GB"/>
              </w:rPr>
              <w:t xml:space="preserve">Indicators of achievement: </w:t>
            </w:r>
          </w:p>
          <w:p w14:paraId="05A20CED" w14:textId="43AF9617" w:rsidR="00301266" w:rsidRPr="00301266" w:rsidRDefault="00301266" w:rsidP="007971D9">
            <w:pPr>
              <w:numPr>
                <w:ilvl w:val="0"/>
                <w:numId w:val="9"/>
              </w:numPr>
              <w:snapToGrid w:val="0"/>
              <w:spacing w:before="60" w:after="60"/>
              <w:rPr>
                <w:rFonts w:ascii="Roboto Regular" w:eastAsia="Calibri" w:hAnsi="Roboto Regular" w:cs="Arial"/>
                <w:sz w:val="20"/>
                <w:szCs w:val="20"/>
                <w:lang w:eastAsia="en-GB"/>
              </w:rPr>
            </w:pPr>
            <w:r w:rsidRPr="00301266">
              <w:rPr>
                <w:rFonts w:ascii="Roboto Regular" w:hAnsi="Roboto Regular"/>
                <w:sz w:val="20"/>
                <w:szCs w:val="20"/>
                <w:lang w:eastAsia="en-GB"/>
              </w:rPr>
              <w:lastRenderedPageBreak/>
              <w:t>Report on electronic systems for information exchange on the transboundary movements of goods and wastes (subject to availability of funding);</w:t>
            </w:r>
          </w:p>
          <w:p w14:paraId="11E9B57E" w14:textId="0D098C6D" w:rsidR="00301266" w:rsidRPr="00301266" w:rsidRDefault="00301266" w:rsidP="007971D9">
            <w:pPr>
              <w:numPr>
                <w:ilvl w:val="0"/>
                <w:numId w:val="9"/>
              </w:numPr>
              <w:snapToGrid w:val="0"/>
              <w:spacing w:before="60" w:after="60"/>
              <w:rPr>
                <w:rFonts w:ascii="Roboto Regular" w:eastAsia="Calibri" w:hAnsi="Roboto Regular" w:cs="Arial"/>
                <w:sz w:val="20"/>
                <w:szCs w:val="20"/>
                <w:lang w:eastAsia="en-GB"/>
              </w:rPr>
            </w:pPr>
            <w:r w:rsidRPr="00301266">
              <w:rPr>
                <w:rFonts w:ascii="Roboto Regular" w:hAnsi="Roboto Regular"/>
                <w:sz w:val="20"/>
                <w:szCs w:val="20"/>
                <w:lang w:eastAsia="en-GB"/>
              </w:rPr>
              <w:t>Workshops on options for a Basel Convention system on the transboundary movements of wastes (subject to availability of funding).</w:t>
            </w:r>
          </w:p>
        </w:tc>
        <w:tc>
          <w:tcPr>
            <w:tcW w:w="5523" w:type="dxa"/>
            <w:gridSpan w:val="3"/>
            <w:tcBorders>
              <w:top w:val="single" w:sz="4" w:space="0" w:color="auto"/>
              <w:left w:val="single" w:sz="4" w:space="0" w:color="auto"/>
              <w:bottom w:val="single" w:sz="4" w:space="0" w:color="000000" w:themeColor="text1"/>
            </w:tcBorders>
          </w:tcPr>
          <w:p w14:paraId="7050560C" w14:textId="77777777" w:rsidR="00301266" w:rsidRPr="00301266" w:rsidRDefault="00301266" w:rsidP="00301266">
            <w:pPr>
              <w:snapToGrid w:val="0"/>
              <w:spacing w:before="60" w:after="60"/>
              <w:rPr>
                <w:rFonts w:ascii="Roboto Regular" w:hAnsi="Roboto Regular"/>
                <w:sz w:val="20"/>
                <w:szCs w:val="20"/>
              </w:rPr>
            </w:pPr>
            <w:r w:rsidRPr="00301266">
              <w:rPr>
                <w:rFonts w:ascii="Roboto Regular" w:hAnsi="Roboto Regular"/>
                <w:b/>
                <w:sz w:val="20"/>
                <w:szCs w:val="20"/>
              </w:rPr>
              <w:lastRenderedPageBreak/>
              <w:t>Means of verification:</w:t>
            </w:r>
            <w:r w:rsidRPr="00301266">
              <w:rPr>
                <w:rFonts w:ascii="Roboto Regular" w:hAnsi="Roboto Regular"/>
                <w:i/>
                <w:sz w:val="20"/>
                <w:szCs w:val="20"/>
                <w:lang w:eastAsia="en-GB"/>
              </w:rPr>
              <w:t xml:space="preserve"> </w:t>
            </w:r>
          </w:p>
          <w:p w14:paraId="033EBDB9" w14:textId="77777777" w:rsidR="00301266" w:rsidRPr="00301266" w:rsidRDefault="00301266" w:rsidP="007971D9">
            <w:pPr>
              <w:numPr>
                <w:ilvl w:val="0"/>
                <w:numId w:val="10"/>
              </w:numPr>
              <w:snapToGrid w:val="0"/>
              <w:spacing w:before="60" w:after="60"/>
              <w:rPr>
                <w:rFonts w:ascii="Roboto Regular" w:hAnsi="Roboto Regular"/>
                <w:sz w:val="20"/>
                <w:szCs w:val="20"/>
              </w:rPr>
            </w:pPr>
            <w:r w:rsidRPr="00301266">
              <w:rPr>
                <w:rFonts w:ascii="Roboto Regular" w:hAnsi="Roboto Regular"/>
                <w:sz w:val="20"/>
                <w:szCs w:val="20"/>
              </w:rPr>
              <w:lastRenderedPageBreak/>
              <w:t xml:space="preserve">Reports to OEWG and COP </w:t>
            </w:r>
            <w:r w:rsidRPr="00301266">
              <w:rPr>
                <w:rFonts w:ascii="Roboto Regular" w:hAnsi="Roboto Regular"/>
                <w:sz w:val="20"/>
                <w:szCs w:val="20"/>
                <w:lang w:eastAsia="en-GB"/>
              </w:rPr>
              <w:t>(subject to availability of funding);</w:t>
            </w:r>
          </w:p>
          <w:p w14:paraId="55C4EAD9" w14:textId="64AE0690" w:rsidR="00301266" w:rsidRPr="00301266" w:rsidRDefault="00301266" w:rsidP="007971D9">
            <w:pPr>
              <w:numPr>
                <w:ilvl w:val="0"/>
                <w:numId w:val="10"/>
              </w:numPr>
              <w:snapToGrid w:val="0"/>
              <w:spacing w:before="60" w:after="60"/>
              <w:rPr>
                <w:rFonts w:ascii="Roboto Regular" w:hAnsi="Roboto Regular"/>
                <w:sz w:val="20"/>
                <w:szCs w:val="20"/>
              </w:rPr>
            </w:pPr>
            <w:r w:rsidRPr="00301266">
              <w:rPr>
                <w:rFonts w:ascii="Roboto Regular" w:hAnsi="Roboto Regular"/>
                <w:sz w:val="20"/>
                <w:szCs w:val="20"/>
              </w:rPr>
              <w:t xml:space="preserve">Workshop report </w:t>
            </w:r>
            <w:r w:rsidRPr="00301266">
              <w:rPr>
                <w:rFonts w:ascii="Roboto Regular" w:hAnsi="Roboto Regular"/>
                <w:sz w:val="20"/>
                <w:szCs w:val="20"/>
                <w:lang w:eastAsia="en-GB"/>
              </w:rPr>
              <w:t>(subject to availability of funding).</w:t>
            </w:r>
          </w:p>
        </w:tc>
      </w:tr>
      <w:tr w:rsidR="00301266" w:rsidRPr="00301266" w14:paraId="75B7572E" w14:textId="77777777" w:rsidTr="00E40F38">
        <w:trPr>
          <w:trHeight w:val="77"/>
        </w:trPr>
        <w:tc>
          <w:tcPr>
            <w:tcW w:w="9923" w:type="dxa"/>
            <w:gridSpan w:val="6"/>
            <w:tcBorders>
              <w:top w:val="nil"/>
              <w:bottom w:val="single" w:sz="4" w:space="0" w:color="auto"/>
            </w:tcBorders>
            <w:vAlign w:val="center"/>
          </w:tcPr>
          <w:p w14:paraId="48481301" w14:textId="77777777" w:rsidR="00301266" w:rsidRPr="00301266" w:rsidRDefault="00301266" w:rsidP="00301266">
            <w:pPr>
              <w:snapToGrid w:val="0"/>
              <w:spacing w:before="60" w:after="60"/>
              <w:rPr>
                <w:rFonts w:ascii="Roboto Regular" w:hAnsi="Roboto Regular"/>
                <w:b/>
                <w:bCs/>
                <w:sz w:val="20"/>
                <w:szCs w:val="20"/>
              </w:rPr>
            </w:pPr>
            <w:r w:rsidRPr="00301266">
              <w:rPr>
                <w:rFonts w:ascii="Roboto Regular" w:hAnsi="Roboto Regular"/>
                <w:b/>
                <w:sz w:val="20"/>
                <w:szCs w:val="20"/>
                <w:lang w:eastAsia="en-GB"/>
              </w:rPr>
              <w:lastRenderedPageBreak/>
              <w:t xml:space="preserve">Component 20.4: </w:t>
            </w:r>
            <w:r w:rsidRPr="00301266">
              <w:rPr>
                <w:rFonts w:ascii="Roboto Regular" w:hAnsi="Roboto Regular"/>
                <w:b/>
                <w:bCs/>
                <w:sz w:val="20"/>
                <w:szCs w:val="20"/>
              </w:rPr>
              <w:t xml:space="preserve">Issues related to waste containing nanomaterials and options for further work under the Basel Convention </w:t>
            </w:r>
          </w:p>
          <w:p w14:paraId="100DE555" w14:textId="77777777" w:rsidR="00301266" w:rsidRPr="00301266" w:rsidRDefault="00301266" w:rsidP="00301266">
            <w:pPr>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Outcomes:</w:t>
            </w:r>
          </w:p>
          <w:p w14:paraId="0023AACD" w14:textId="77777777" w:rsidR="00301266" w:rsidRPr="00301266" w:rsidRDefault="00301266" w:rsidP="00301266">
            <w:pPr>
              <w:snapToGrid w:val="0"/>
              <w:spacing w:before="60" w:after="60"/>
              <w:rPr>
                <w:rFonts w:ascii="Roboto Regular" w:hAnsi="Roboto Regular"/>
                <w:sz w:val="20"/>
                <w:szCs w:val="20"/>
                <w:lang w:eastAsia="en-GB"/>
              </w:rPr>
            </w:pPr>
            <w:r w:rsidRPr="00301266">
              <w:rPr>
                <w:rFonts w:ascii="Roboto Regular" w:hAnsi="Roboto Regular"/>
                <w:sz w:val="20"/>
                <w:szCs w:val="20"/>
                <w:lang w:eastAsia="en-GB"/>
              </w:rPr>
              <w:t>Parties have an enhanced understanding of issues related to wastes containing nanomaterials and are provided with guidance on how to address such wastes.</w:t>
            </w:r>
          </w:p>
          <w:p w14:paraId="735C216F" w14:textId="77777777" w:rsidR="00301266" w:rsidRPr="00301266" w:rsidRDefault="00301266" w:rsidP="00301266">
            <w:pPr>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Activities</w:t>
            </w:r>
            <w:r w:rsidRPr="00301266">
              <w:rPr>
                <w:rFonts w:ascii="Roboto Regular" w:eastAsia="Times New Roman" w:hAnsi="Roboto Regular"/>
                <w:b/>
                <w:color w:val="000000"/>
                <w:sz w:val="20"/>
                <w:szCs w:val="20"/>
              </w:rPr>
              <w:t xml:space="preserve"> </w:t>
            </w:r>
            <w:r w:rsidRPr="00301266">
              <w:rPr>
                <w:rFonts w:ascii="Roboto Regular" w:hAnsi="Roboto Regular"/>
                <w:b/>
                <w:sz w:val="20"/>
                <w:szCs w:val="20"/>
              </w:rPr>
              <w:t>(subject to the availability of funding)</w:t>
            </w:r>
            <w:r w:rsidRPr="00301266">
              <w:rPr>
                <w:rFonts w:ascii="Roboto Regular" w:hAnsi="Roboto Regular"/>
                <w:b/>
                <w:sz w:val="20"/>
                <w:szCs w:val="20"/>
                <w:lang w:eastAsia="en-GB"/>
              </w:rPr>
              <w:t>:</w:t>
            </w:r>
          </w:p>
          <w:p w14:paraId="518EFE1C" w14:textId="307B8A8D" w:rsidR="00301266" w:rsidRPr="00301266" w:rsidRDefault="00301266" w:rsidP="00301266">
            <w:pPr>
              <w:rPr>
                <w:rFonts w:ascii="Roboto Regular" w:hAnsi="Roboto Regular" w:cs="Arial"/>
                <w:sz w:val="20"/>
                <w:szCs w:val="20"/>
                <w:lang w:val="en-GB"/>
              </w:rPr>
            </w:pPr>
            <w:r w:rsidRPr="00301266">
              <w:rPr>
                <w:rFonts w:ascii="Roboto Regular" w:eastAsia="Times New Roman" w:hAnsi="Roboto Regular"/>
                <w:color w:val="000000"/>
                <w:sz w:val="20"/>
                <w:szCs w:val="20"/>
              </w:rPr>
              <w:t>Compile information related to activities aimed at addressing issues related to waste containing nanomaterials, including case studies about and best practices relating to the management of waste containing nanomaterials, submitted by Parties and stakeholders..</w:t>
            </w:r>
          </w:p>
        </w:tc>
      </w:tr>
      <w:tr w:rsidR="00301266" w:rsidRPr="00301266" w14:paraId="383A2C93" w14:textId="77777777" w:rsidTr="00E40F38">
        <w:trPr>
          <w:trHeight w:val="420"/>
        </w:trPr>
        <w:tc>
          <w:tcPr>
            <w:tcW w:w="4400" w:type="dxa"/>
            <w:gridSpan w:val="3"/>
            <w:tcBorders>
              <w:top w:val="single" w:sz="4" w:space="0" w:color="auto"/>
              <w:bottom w:val="single" w:sz="4" w:space="0" w:color="000000" w:themeColor="text1"/>
              <w:right w:val="single" w:sz="4" w:space="0" w:color="auto"/>
            </w:tcBorders>
          </w:tcPr>
          <w:p w14:paraId="76B51968" w14:textId="77777777" w:rsidR="00301266" w:rsidRPr="00301266" w:rsidRDefault="00301266" w:rsidP="00301266">
            <w:pPr>
              <w:tabs>
                <w:tab w:val="left" w:pos="1157"/>
              </w:tabs>
              <w:suppressAutoHyphens/>
              <w:snapToGrid w:val="0"/>
              <w:spacing w:before="60" w:after="60"/>
              <w:rPr>
                <w:rFonts w:ascii="Roboto Regular" w:hAnsi="Roboto Regular"/>
                <w:i/>
                <w:sz w:val="20"/>
                <w:szCs w:val="20"/>
                <w:lang w:eastAsia="en-GB"/>
              </w:rPr>
            </w:pPr>
            <w:r w:rsidRPr="00301266">
              <w:rPr>
                <w:rFonts w:ascii="Roboto Regular" w:hAnsi="Roboto Regular"/>
                <w:b/>
                <w:sz w:val="20"/>
                <w:szCs w:val="20"/>
                <w:lang w:eastAsia="en-GB"/>
              </w:rPr>
              <w:t xml:space="preserve">Indicators of achievement: </w:t>
            </w:r>
          </w:p>
          <w:p w14:paraId="120E6E80" w14:textId="1C9C9568" w:rsidR="00301266" w:rsidRPr="00301266" w:rsidRDefault="00301266" w:rsidP="007971D9">
            <w:pPr>
              <w:pStyle w:val="ListParagraph"/>
              <w:numPr>
                <w:ilvl w:val="0"/>
                <w:numId w:val="1"/>
              </w:numPr>
              <w:rPr>
                <w:rFonts w:ascii="Roboto Regular" w:eastAsia="Calibri" w:hAnsi="Roboto Regular" w:cs="Arial"/>
                <w:sz w:val="20"/>
                <w:szCs w:val="20"/>
                <w:lang w:eastAsia="en-GB"/>
              </w:rPr>
            </w:pPr>
            <w:r w:rsidRPr="00301266">
              <w:rPr>
                <w:rFonts w:ascii="Roboto Regular" w:hAnsi="Roboto Regular"/>
                <w:sz w:val="20"/>
                <w:szCs w:val="20"/>
              </w:rPr>
              <w:t>Compilation of information  on wastes containing nanomaterials (staff costs only).</w:t>
            </w:r>
          </w:p>
        </w:tc>
        <w:tc>
          <w:tcPr>
            <w:tcW w:w="5523" w:type="dxa"/>
            <w:gridSpan w:val="3"/>
            <w:tcBorders>
              <w:top w:val="single" w:sz="4" w:space="0" w:color="auto"/>
              <w:left w:val="single" w:sz="4" w:space="0" w:color="auto"/>
              <w:bottom w:val="single" w:sz="4" w:space="0" w:color="000000" w:themeColor="text1"/>
            </w:tcBorders>
          </w:tcPr>
          <w:p w14:paraId="2A38B0C6" w14:textId="77777777" w:rsidR="00301266" w:rsidRPr="00301266" w:rsidRDefault="00301266" w:rsidP="00301266">
            <w:pPr>
              <w:snapToGrid w:val="0"/>
              <w:spacing w:before="60" w:after="60"/>
              <w:rPr>
                <w:rFonts w:ascii="Roboto Regular" w:hAnsi="Roboto Regular"/>
                <w:sz w:val="20"/>
                <w:szCs w:val="20"/>
              </w:rPr>
            </w:pPr>
            <w:r w:rsidRPr="00301266">
              <w:rPr>
                <w:rFonts w:ascii="Roboto Regular" w:hAnsi="Roboto Regular"/>
                <w:b/>
                <w:sz w:val="20"/>
                <w:szCs w:val="20"/>
              </w:rPr>
              <w:t>Means of verification:</w:t>
            </w:r>
            <w:r w:rsidRPr="00301266">
              <w:rPr>
                <w:rFonts w:ascii="Roboto Regular" w:hAnsi="Roboto Regular"/>
                <w:i/>
                <w:sz w:val="20"/>
                <w:szCs w:val="20"/>
                <w:lang w:eastAsia="en-GB"/>
              </w:rPr>
              <w:t xml:space="preserve"> </w:t>
            </w:r>
          </w:p>
          <w:p w14:paraId="36C4D55D" w14:textId="5BE262A9" w:rsidR="00301266" w:rsidRPr="00301266" w:rsidRDefault="00301266" w:rsidP="007971D9">
            <w:pPr>
              <w:pStyle w:val="ListParagraph"/>
              <w:numPr>
                <w:ilvl w:val="0"/>
                <w:numId w:val="2"/>
              </w:numPr>
              <w:rPr>
                <w:rFonts w:ascii="Roboto Regular" w:eastAsia="Calibri" w:hAnsi="Roboto Regular" w:cs="Arial"/>
                <w:sz w:val="20"/>
                <w:szCs w:val="20"/>
                <w:lang w:eastAsia="en-GB"/>
              </w:rPr>
            </w:pPr>
            <w:r w:rsidRPr="00301266">
              <w:rPr>
                <w:rFonts w:ascii="Roboto Regular" w:hAnsi="Roboto Regular"/>
                <w:sz w:val="20"/>
                <w:szCs w:val="20"/>
              </w:rPr>
              <w:t>Compilation available on the Basel Convention website and for COP-15 (staff costs only).</w:t>
            </w:r>
          </w:p>
        </w:tc>
      </w:tr>
      <w:tr w:rsidR="00301266" w:rsidRPr="00301266" w14:paraId="00336E9C" w14:textId="77777777" w:rsidTr="00E40F38">
        <w:trPr>
          <w:trHeight w:val="77"/>
        </w:trPr>
        <w:tc>
          <w:tcPr>
            <w:tcW w:w="9923" w:type="dxa"/>
            <w:gridSpan w:val="6"/>
            <w:tcBorders>
              <w:top w:val="nil"/>
              <w:bottom w:val="single" w:sz="4" w:space="0" w:color="auto"/>
            </w:tcBorders>
            <w:vAlign w:val="center"/>
          </w:tcPr>
          <w:p w14:paraId="2ACCC02E" w14:textId="77777777" w:rsidR="00301266" w:rsidRPr="00301266" w:rsidRDefault="00301266" w:rsidP="00301266">
            <w:pPr>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 xml:space="preserve">Component 20.5: </w:t>
            </w:r>
            <w:r w:rsidRPr="00301266">
              <w:rPr>
                <w:rFonts w:ascii="Roboto Regular" w:hAnsi="Roboto Regular"/>
                <w:b/>
                <w:bCs/>
                <w:sz w:val="20"/>
                <w:szCs w:val="20"/>
              </w:rPr>
              <w:t>Issues related to plastic waste</w:t>
            </w:r>
          </w:p>
          <w:p w14:paraId="0BF575C9" w14:textId="77777777" w:rsidR="00301266" w:rsidRPr="00301266" w:rsidRDefault="00301266" w:rsidP="00301266">
            <w:pPr>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Outcomes:</w:t>
            </w:r>
          </w:p>
          <w:p w14:paraId="62B46806" w14:textId="77777777" w:rsidR="00301266" w:rsidRPr="00301266" w:rsidRDefault="00301266" w:rsidP="00301266">
            <w:pPr>
              <w:snapToGrid w:val="0"/>
              <w:spacing w:before="60" w:after="60"/>
              <w:rPr>
                <w:rFonts w:ascii="Roboto Regular" w:hAnsi="Roboto Regular"/>
                <w:iCs/>
                <w:sz w:val="20"/>
                <w:szCs w:val="20"/>
                <w:lang w:eastAsia="en-GB"/>
              </w:rPr>
            </w:pPr>
            <w:r w:rsidRPr="00301266">
              <w:rPr>
                <w:rFonts w:ascii="Roboto Regular" w:hAnsi="Roboto Regular"/>
                <w:iCs/>
                <w:sz w:val="20"/>
                <w:szCs w:val="20"/>
                <w:lang w:eastAsia="en-GB"/>
              </w:rPr>
              <w:t xml:space="preserve">Activities to follow up the decision by COP-14 on </w:t>
            </w:r>
            <w:r w:rsidRPr="00301266">
              <w:rPr>
                <w:rFonts w:ascii="Roboto Regular" w:eastAsia="Times New Roman" w:hAnsi="Roboto Regular"/>
                <w:color w:val="000000"/>
                <w:sz w:val="20"/>
                <w:szCs w:val="20"/>
              </w:rPr>
              <w:t>plastic waste</w:t>
            </w:r>
            <w:r w:rsidRPr="00301266">
              <w:rPr>
                <w:rFonts w:ascii="Roboto Regular" w:hAnsi="Roboto Regular"/>
                <w:iCs/>
                <w:sz w:val="20"/>
                <w:szCs w:val="20"/>
                <w:lang w:eastAsia="en-GB"/>
              </w:rPr>
              <w:t xml:space="preserve"> are carried out. </w:t>
            </w:r>
          </w:p>
          <w:p w14:paraId="3E079D60" w14:textId="77777777" w:rsidR="00301266" w:rsidRPr="00301266" w:rsidRDefault="00301266" w:rsidP="00301266">
            <w:pPr>
              <w:snapToGrid w:val="0"/>
              <w:spacing w:before="60" w:after="60"/>
              <w:rPr>
                <w:rFonts w:ascii="Roboto Regular" w:hAnsi="Roboto Regular"/>
                <w:b/>
                <w:sz w:val="20"/>
                <w:szCs w:val="20"/>
                <w:lang w:eastAsia="en-GB"/>
              </w:rPr>
            </w:pPr>
            <w:r w:rsidRPr="00301266">
              <w:rPr>
                <w:rFonts w:ascii="Roboto Regular" w:hAnsi="Roboto Regular"/>
                <w:b/>
                <w:sz w:val="20"/>
                <w:szCs w:val="20"/>
                <w:lang w:eastAsia="en-GB"/>
              </w:rPr>
              <w:t>Activities</w:t>
            </w:r>
            <w:r w:rsidRPr="00301266">
              <w:rPr>
                <w:rFonts w:ascii="Roboto Regular" w:eastAsia="Times New Roman" w:hAnsi="Roboto Regular"/>
                <w:b/>
                <w:color w:val="000000"/>
                <w:sz w:val="20"/>
                <w:szCs w:val="20"/>
              </w:rPr>
              <w:t xml:space="preserve"> </w:t>
            </w:r>
            <w:r w:rsidRPr="00301266">
              <w:rPr>
                <w:rFonts w:ascii="Roboto Regular" w:hAnsi="Roboto Regular"/>
                <w:b/>
                <w:sz w:val="20"/>
                <w:szCs w:val="20"/>
              </w:rPr>
              <w:t>(subject to the availability of funding)</w:t>
            </w:r>
            <w:r w:rsidRPr="00301266">
              <w:rPr>
                <w:rFonts w:ascii="Roboto Regular" w:hAnsi="Roboto Regular"/>
                <w:b/>
                <w:sz w:val="20"/>
                <w:szCs w:val="20"/>
                <w:lang w:eastAsia="en-GB"/>
              </w:rPr>
              <w:t>:</w:t>
            </w:r>
          </w:p>
          <w:p w14:paraId="452D34A1" w14:textId="77777777" w:rsidR="00301266" w:rsidRPr="00301266" w:rsidRDefault="00301266" w:rsidP="007971D9">
            <w:pPr>
              <w:pStyle w:val="ListParagraph"/>
              <w:numPr>
                <w:ilvl w:val="0"/>
                <w:numId w:val="11"/>
              </w:numPr>
              <w:snapToGrid w:val="0"/>
              <w:spacing w:before="60" w:after="60"/>
              <w:rPr>
                <w:rFonts w:ascii="Roboto Regular" w:hAnsi="Roboto Regular"/>
                <w:sz w:val="20"/>
                <w:szCs w:val="20"/>
                <w:lang w:eastAsia="en-GB"/>
              </w:rPr>
            </w:pPr>
            <w:r w:rsidRPr="00301266">
              <w:rPr>
                <w:rFonts w:ascii="Roboto Regular" w:eastAsia="Times New Roman" w:hAnsi="Roboto Regular"/>
                <w:color w:val="000000"/>
                <w:sz w:val="20"/>
                <w:szCs w:val="20"/>
              </w:rPr>
              <w:t>Undertake follow up activities on plastic waste, i.e. to develop a paper for consideration at OEWG-12 and thereafter by COP-14 on the consideration of the following: (a) Whether, how and when the Conference of the Parties should assess the effectiveness of the measures taken under the Convention to address the plastic waste contributing to marine plastic litter and microplastics; (b)</w:t>
            </w:r>
            <w:r w:rsidRPr="00301266">
              <w:rPr>
                <w:rFonts w:ascii="Roboto Regular" w:eastAsia="Times New Roman" w:hAnsi="Roboto Regular"/>
                <w:color w:val="000000"/>
                <w:sz w:val="20"/>
                <w:szCs w:val="20"/>
              </w:rPr>
              <w:tab/>
              <w:t xml:space="preserve"> Which further activities could possibly be conducted under the Convention in response to developments in scientific knowledge and environmental information related to plastic waste as a source of land pollution, marine plastic litter and microplastics.</w:t>
            </w:r>
          </w:p>
          <w:p w14:paraId="3E7DEE80" w14:textId="7248ECA3" w:rsidR="00301266" w:rsidRPr="00301266" w:rsidRDefault="00301266" w:rsidP="00301266">
            <w:pPr>
              <w:rPr>
                <w:rFonts w:ascii="Roboto Regular" w:hAnsi="Roboto Regular" w:cs="Arial"/>
                <w:sz w:val="20"/>
                <w:szCs w:val="20"/>
                <w:lang w:val="en-GB"/>
              </w:rPr>
            </w:pPr>
            <w:r w:rsidRPr="00301266">
              <w:rPr>
                <w:rFonts w:ascii="Roboto Regular" w:hAnsi="Roboto Regular"/>
                <w:sz w:val="20"/>
                <w:szCs w:val="20"/>
                <w:lang w:eastAsia="en-GB"/>
              </w:rPr>
              <w:t>Compile the information on cure resins and fluorinated polymers referred to in decision BC-14/13 and make it available for consideration at COP-15.</w:t>
            </w:r>
            <w:r w:rsidRPr="00301266">
              <w:rPr>
                <w:rFonts w:ascii="Roboto Regular" w:eastAsia="Times New Roman" w:hAnsi="Roboto Regular"/>
                <w:color w:val="000000"/>
                <w:sz w:val="20"/>
                <w:szCs w:val="20"/>
              </w:rPr>
              <w:t>.</w:t>
            </w:r>
          </w:p>
        </w:tc>
      </w:tr>
      <w:tr w:rsidR="00301266" w:rsidRPr="00301266" w14:paraId="5B2FD18E" w14:textId="77777777" w:rsidTr="00E40F38">
        <w:trPr>
          <w:trHeight w:val="420"/>
        </w:trPr>
        <w:tc>
          <w:tcPr>
            <w:tcW w:w="4400" w:type="dxa"/>
            <w:gridSpan w:val="3"/>
            <w:tcBorders>
              <w:top w:val="single" w:sz="4" w:space="0" w:color="auto"/>
              <w:bottom w:val="single" w:sz="4" w:space="0" w:color="000000" w:themeColor="text1"/>
              <w:right w:val="single" w:sz="4" w:space="0" w:color="auto"/>
            </w:tcBorders>
          </w:tcPr>
          <w:p w14:paraId="777C0000" w14:textId="77777777" w:rsidR="00301266" w:rsidRPr="00301266" w:rsidRDefault="00301266" w:rsidP="00301266">
            <w:pPr>
              <w:tabs>
                <w:tab w:val="left" w:pos="1157"/>
              </w:tabs>
              <w:suppressAutoHyphens/>
              <w:snapToGrid w:val="0"/>
              <w:spacing w:before="60" w:after="60"/>
              <w:rPr>
                <w:rFonts w:ascii="Roboto Regular" w:hAnsi="Roboto Regular"/>
                <w:i/>
                <w:sz w:val="20"/>
                <w:szCs w:val="20"/>
                <w:lang w:eastAsia="en-GB"/>
              </w:rPr>
            </w:pPr>
            <w:r w:rsidRPr="00301266">
              <w:rPr>
                <w:rFonts w:ascii="Roboto Regular" w:hAnsi="Roboto Regular"/>
                <w:b/>
                <w:sz w:val="20"/>
                <w:szCs w:val="20"/>
                <w:lang w:eastAsia="en-GB"/>
              </w:rPr>
              <w:t xml:space="preserve">Indicators of achievement: </w:t>
            </w:r>
          </w:p>
          <w:p w14:paraId="5E2AC3A6" w14:textId="6B18F2B7" w:rsidR="00301266" w:rsidRPr="00301266" w:rsidRDefault="00301266" w:rsidP="007971D9">
            <w:pPr>
              <w:pStyle w:val="ListParagraph"/>
              <w:numPr>
                <w:ilvl w:val="0"/>
                <w:numId w:val="12"/>
              </w:numPr>
              <w:rPr>
                <w:rFonts w:ascii="Roboto Regular" w:eastAsia="Calibri" w:hAnsi="Roboto Regular" w:cs="Arial"/>
                <w:sz w:val="20"/>
                <w:szCs w:val="20"/>
                <w:lang w:eastAsia="en-GB"/>
              </w:rPr>
            </w:pPr>
            <w:r w:rsidRPr="00301266">
              <w:rPr>
                <w:rFonts w:ascii="Roboto Regular" w:hAnsi="Roboto Regular"/>
                <w:sz w:val="20"/>
                <w:szCs w:val="20"/>
              </w:rPr>
              <w:t>Activities are carried out in line with the decision by COP-14 on plastic waste (subject to the availability of funding).</w:t>
            </w:r>
          </w:p>
        </w:tc>
        <w:tc>
          <w:tcPr>
            <w:tcW w:w="5523" w:type="dxa"/>
            <w:gridSpan w:val="3"/>
            <w:tcBorders>
              <w:top w:val="single" w:sz="4" w:space="0" w:color="auto"/>
              <w:left w:val="single" w:sz="4" w:space="0" w:color="auto"/>
              <w:bottom w:val="single" w:sz="4" w:space="0" w:color="000000" w:themeColor="text1"/>
            </w:tcBorders>
          </w:tcPr>
          <w:p w14:paraId="578773B1" w14:textId="77777777" w:rsidR="00301266" w:rsidRPr="00301266" w:rsidRDefault="00301266" w:rsidP="00301266">
            <w:pPr>
              <w:snapToGrid w:val="0"/>
              <w:spacing w:before="60" w:after="60"/>
              <w:rPr>
                <w:rFonts w:ascii="Roboto Regular" w:hAnsi="Roboto Regular"/>
                <w:sz w:val="20"/>
                <w:szCs w:val="20"/>
              </w:rPr>
            </w:pPr>
            <w:r w:rsidRPr="00301266">
              <w:rPr>
                <w:rFonts w:ascii="Roboto Regular" w:hAnsi="Roboto Regular"/>
                <w:b/>
                <w:sz w:val="20"/>
                <w:szCs w:val="20"/>
              </w:rPr>
              <w:t>Means of verification:</w:t>
            </w:r>
            <w:r w:rsidRPr="00301266">
              <w:rPr>
                <w:rFonts w:ascii="Roboto Regular" w:hAnsi="Roboto Regular"/>
                <w:i/>
                <w:sz w:val="20"/>
                <w:szCs w:val="20"/>
                <w:lang w:eastAsia="en-GB"/>
              </w:rPr>
              <w:t xml:space="preserve"> </w:t>
            </w:r>
          </w:p>
          <w:p w14:paraId="6F3B90D3" w14:textId="026E23B2" w:rsidR="00301266" w:rsidRPr="00301266" w:rsidRDefault="00301266" w:rsidP="007971D9">
            <w:pPr>
              <w:pStyle w:val="ListParagraph"/>
              <w:numPr>
                <w:ilvl w:val="0"/>
                <w:numId w:val="13"/>
              </w:numPr>
              <w:rPr>
                <w:rFonts w:ascii="Roboto Regular" w:eastAsia="Calibri" w:hAnsi="Roboto Regular" w:cs="Arial"/>
                <w:sz w:val="20"/>
                <w:szCs w:val="20"/>
                <w:lang w:eastAsia="en-GB"/>
              </w:rPr>
            </w:pPr>
            <w:r w:rsidRPr="00301266">
              <w:rPr>
                <w:rFonts w:ascii="Roboto Regular" w:hAnsi="Roboto Regular"/>
                <w:sz w:val="20"/>
                <w:szCs w:val="20"/>
              </w:rPr>
              <w:t xml:space="preserve">Reports to OEWG and COP </w:t>
            </w:r>
            <w:r w:rsidRPr="00301266">
              <w:rPr>
                <w:rFonts w:ascii="Roboto Regular" w:hAnsi="Roboto Regular"/>
                <w:sz w:val="20"/>
                <w:szCs w:val="20"/>
                <w:lang w:eastAsia="en-GB"/>
              </w:rPr>
              <w:t>(subject to availability of funding).</w:t>
            </w:r>
          </w:p>
        </w:tc>
      </w:tr>
      <w:tr w:rsidR="00301266" w:rsidRPr="00301266" w14:paraId="2137DC42" w14:textId="77777777" w:rsidTr="00E40F38">
        <w:trPr>
          <w:trHeight w:val="227"/>
        </w:trPr>
        <w:tc>
          <w:tcPr>
            <w:tcW w:w="9923" w:type="dxa"/>
            <w:gridSpan w:val="6"/>
            <w:tcBorders>
              <w:bottom w:val="nil"/>
            </w:tcBorders>
            <w:shd w:val="clear" w:color="auto" w:fill="C7E3D8"/>
            <w:vAlign w:val="center"/>
          </w:tcPr>
          <w:p w14:paraId="3D73DED1" w14:textId="77777777" w:rsidR="00301266" w:rsidRPr="00301266" w:rsidRDefault="00301266" w:rsidP="00301266">
            <w:pPr>
              <w:rPr>
                <w:rFonts w:ascii="Roboto Regular" w:hAnsi="Roboto Regular" w:cs="Arial"/>
                <w:b/>
                <w:sz w:val="20"/>
                <w:szCs w:val="20"/>
              </w:rPr>
            </w:pPr>
            <w:r w:rsidRPr="00301266">
              <w:rPr>
                <w:rFonts w:ascii="Roboto Regular" w:hAnsi="Roboto Regular" w:cs="Arial"/>
                <w:sz w:val="20"/>
                <w:szCs w:val="20"/>
              </w:rPr>
              <w:br w:type="page"/>
            </w:r>
            <w:r w:rsidRPr="00301266">
              <w:rPr>
                <w:rFonts w:ascii="Roboto Regular" w:hAnsi="Roboto Regular" w:cs="Arial"/>
                <w:b/>
                <w:sz w:val="20"/>
                <w:szCs w:val="20"/>
                <w:shd w:val="clear" w:color="auto" w:fill="C7E3D8"/>
              </w:rPr>
              <w:t>IMPLEMENTATION TIMEFRAME</w:t>
            </w:r>
          </w:p>
        </w:tc>
      </w:tr>
      <w:tr w:rsidR="00301266" w:rsidRPr="00301266" w14:paraId="4EC5133E" w14:textId="77777777" w:rsidTr="00E40F38">
        <w:trPr>
          <w:trHeight w:val="454"/>
        </w:trPr>
        <w:tc>
          <w:tcPr>
            <w:tcW w:w="2978" w:type="dxa"/>
            <w:tcBorders>
              <w:top w:val="nil"/>
              <w:bottom w:val="single" w:sz="4" w:space="0" w:color="auto"/>
            </w:tcBorders>
            <w:vAlign w:val="center"/>
          </w:tcPr>
          <w:p w14:paraId="77098BC4" w14:textId="0D9030FD" w:rsidR="00301266" w:rsidRPr="00301266" w:rsidRDefault="00301266" w:rsidP="00301266">
            <w:pPr>
              <w:rPr>
                <w:rFonts w:ascii="Roboto Regular" w:eastAsia="MS Gothic" w:hAnsi="Roboto Regular" w:cs="Arial"/>
                <w:sz w:val="20"/>
                <w:szCs w:val="20"/>
              </w:rPr>
            </w:pPr>
            <w:r w:rsidRPr="00301266">
              <w:rPr>
                <w:rFonts w:ascii="Roboto Regular" w:eastAsia="MS Gothic" w:hAnsi="Roboto Regular" w:cs="Arial"/>
                <w:sz w:val="20"/>
                <w:szCs w:val="20"/>
              </w:rPr>
              <w:t xml:space="preserve">Project start date: </w:t>
            </w:r>
            <w:r w:rsidR="00E40F38">
              <w:rPr>
                <w:rFonts w:ascii="Roboto Regular" w:eastAsia="MS Gothic" w:hAnsi="Roboto Regular" w:cs="Arial"/>
                <w:sz w:val="20"/>
                <w:szCs w:val="20"/>
              </w:rPr>
              <w:t>01/2020</w:t>
            </w:r>
          </w:p>
        </w:tc>
        <w:tc>
          <w:tcPr>
            <w:tcW w:w="3478" w:type="dxa"/>
            <w:gridSpan w:val="3"/>
            <w:tcBorders>
              <w:top w:val="nil"/>
              <w:bottom w:val="single" w:sz="4" w:space="0" w:color="auto"/>
            </w:tcBorders>
            <w:shd w:val="clear" w:color="auto" w:fill="auto"/>
            <w:vAlign w:val="center"/>
          </w:tcPr>
          <w:p w14:paraId="4443DC75" w14:textId="5E84F3DE" w:rsidR="00301266" w:rsidRPr="00301266" w:rsidRDefault="00301266" w:rsidP="00301266">
            <w:pPr>
              <w:rPr>
                <w:rFonts w:ascii="Roboto Regular" w:eastAsia="MS Gothic" w:hAnsi="Roboto Regular" w:cs="Arial"/>
                <w:sz w:val="20"/>
                <w:szCs w:val="20"/>
              </w:rPr>
            </w:pPr>
            <w:r w:rsidRPr="00301266">
              <w:rPr>
                <w:rFonts w:ascii="Roboto Regular" w:eastAsia="MS Gothic" w:hAnsi="Roboto Regular" w:cs="Arial"/>
                <w:sz w:val="20"/>
                <w:szCs w:val="20"/>
              </w:rPr>
              <w:t>Project completion date:</w:t>
            </w:r>
            <w:r w:rsidR="00E40F38">
              <w:rPr>
                <w:rFonts w:ascii="Roboto Regular" w:eastAsia="MS Gothic" w:hAnsi="Roboto Regular" w:cs="Arial"/>
                <w:sz w:val="20"/>
                <w:szCs w:val="20"/>
              </w:rPr>
              <w:t xml:space="preserve"> 12/2021</w:t>
            </w:r>
            <w:r w:rsidRPr="00301266">
              <w:rPr>
                <w:rFonts w:ascii="Roboto Regular" w:eastAsia="MS Gothic" w:hAnsi="Roboto Regular" w:cs="Arial"/>
                <w:sz w:val="20"/>
                <w:szCs w:val="20"/>
              </w:rPr>
              <w:t xml:space="preserve"> </w:t>
            </w:r>
          </w:p>
        </w:tc>
        <w:tc>
          <w:tcPr>
            <w:tcW w:w="3467" w:type="dxa"/>
            <w:gridSpan w:val="2"/>
            <w:tcBorders>
              <w:top w:val="nil"/>
              <w:bottom w:val="single" w:sz="4" w:space="0" w:color="auto"/>
            </w:tcBorders>
            <w:shd w:val="clear" w:color="auto" w:fill="auto"/>
            <w:vAlign w:val="center"/>
          </w:tcPr>
          <w:p w14:paraId="7A6D50E3" w14:textId="3AE942B0" w:rsidR="00301266" w:rsidRPr="00301266" w:rsidRDefault="00E40F38" w:rsidP="00301266">
            <w:pPr>
              <w:rPr>
                <w:rFonts w:ascii="Roboto Regular" w:eastAsia="MS Gothic" w:hAnsi="Roboto Regular" w:cs="Arial"/>
                <w:sz w:val="20"/>
                <w:szCs w:val="20"/>
              </w:rPr>
            </w:pPr>
            <w:r>
              <w:rPr>
                <w:rFonts w:ascii="Roboto Regular" w:eastAsia="MS Gothic" w:hAnsi="Roboto Regular" w:cs="Arial"/>
                <w:sz w:val="20"/>
                <w:szCs w:val="20"/>
              </w:rPr>
              <w:t>Total duration:</w:t>
            </w:r>
            <w:r w:rsidR="00301266" w:rsidRPr="00301266">
              <w:rPr>
                <w:rFonts w:ascii="Roboto Regular" w:eastAsia="MS Gothic" w:hAnsi="Roboto Regular" w:cs="Arial"/>
                <w:i/>
                <w:sz w:val="20"/>
                <w:szCs w:val="20"/>
              </w:rPr>
              <w:t xml:space="preserve"> </w:t>
            </w:r>
            <w:r>
              <w:rPr>
                <w:rFonts w:ascii="Roboto Regular" w:eastAsia="MS Gothic" w:hAnsi="Roboto Regular" w:cs="Arial"/>
                <w:i/>
                <w:sz w:val="20"/>
                <w:szCs w:val="20"/>
              </w:rPr>
              <w:t xml:space="preserve">24 </w:t>
            </w:r>
            <w:r w:rsidR="00301266" w:rsidRPr="00301266">
              <w:rPr>
                <w:rFonts w:ascii="Roboto Regular" w:eastAsia="MS Gothic" w:hAnsi="Roboto Regular" w:cs="Arial"/>
                <w:i/>
                <w:sz w:val="20"/>
                <w:szCs w:val="20"/>
              </w:rPr>
              <w:t>months</w:t>
            </w:r>
          </w:p>
        </w:tc>
      </w:tr>
      <w:tr w:rsidR="00301266" w:rsidRPr="00301266" w14:paraId="422F2A37" w14:textId="77777777" w:rsidTr="00E40F38">
        <w:trPr>
          <w:trHeight w:val="227"/>
        </w:trPr>
        <w:tc>
          <w:tcPr>
            <w:tcW w:w="9923" w:type="dxa"/>
            <w:gridSpan w:val="6"/>
            <w:tcBorders>
              <w:bottom w:val="nil"/>
            </w:tcBorders>
            <w:shd w:val="clear" w:color="auto" w:fill="C7E3D8"/>
            <w:vAlign w:val="center"/>
          </w:tcPr>
          <w:p w14:paraId="7980183F" w14:textId="77777777" w:rsidR="00301266" w:rsidRPr="00301266" w:rsidRDefault="00301266" w:rsidP="00301266">
            <w:pPr>
              <w:rPr>
                <w:rFonts w:ascii="Roboto Regular" w:hAnsi="Roboto Regular" w:cs="Arial"/>
                <w:b/>
                <w:sz w:val="20"/>
                <w:szCs w:val="20"/>
              </w:rPr>
            </w:pPr>
            <w:r w:rsidRPr="00301266">
              <w:rPr>
                <w:rFonts w:ascii="Roboto Regular" w:hAnsi="Roboto Regular" w:cs="Arial"/>
                <w:b/>
                <w:sz w:val="20"/>
                <w:szCs w:val="20"/>
              </w:rPr>
              <w:t>SOCIO-ECONOMIC ASPECTS</w:t>
            </w:r>
          </w:p>
        </w:tc>
      </w:tr>
      <w:tr w:rsidR="00E40F38" w:rsidRPr="00301266" w14:paraId="62C25A6A" w14:textId="77777777" w:rsidTr="00E40F38">
        <w:trPr>
          <w:trHeight w:val="483"/>
        </w:trPr>
        <w:tc>
          <w:tcPr>
            <w:tcW w:w="9923" w:type="dxa"/>
            <w:gridSpan w:val="6"/>
            <w:tcBorders>
              <w:top w:val="nil"/>
              <w:bottom w:val="single" w:sz="4" w:space="0" w:color="000000" w:themeColor="text1"/>
            </w:tcBorders>
          </w:tcPr>
          <w:p w14:paraId="201E769E" w14:textId="77777777" w:rsidR="00E40F38" w:rsidRPr="00E40F38" w:rsidRDefault="00E40F38" w:rsidP="00E40F38">
            <w:pPr>
              <w:spacing w:before="2" w:after="2"/>
              <w:rPr>
                <w:rFonts w:ascii="Roboto Regular" w:hAnsi="Roboto Regular"/>
                <w:bCs/>
                <w:sz w:val="20"/>
                <w:szCs w:val="20"/>
              </w:rPr>
            </w:pPr>
            <w:r w:rsidRPr="00E40F38">
              <w:rPr>
                <w:rFonts w:ascii="Roboto Regular" w:hAnsi="Roboto Regular"/>
                <w:b/>
                <w:bCs/>
                <w:sz w:val="20"/>
                <w:szCs w:val="20"/>
              </w:rPr>
              <w:t>Sustainable Development Goals:</w:t>
            </w:r>
            <w:r w:rsidRPr="00E40F38">
              <w:rPr>
                <w:rFonts w:ascii="Roboto Regular" w:hAnsi="Roboto Regular"/>
                <w:bCs/>
                <w:i/>
                <w:sz w:val="20"/>
                <w:szCs w:val="20"/>
              </w:rPr>
              <w:t xml:space="preserve"> </w:t>
            </w:r>
            <w:r w:rsidRPr="00E40F38">
              <w:rPr>
                <w:rFonts w:ascii="Roboto Regular" w:hAnsi="Roboto Regular"/>
                <w:bCs/>
                <w:sz w:val="20"/>
                <w:szCs w:val="20"/>
              </w:rPr>
              <w:t>The activity relates to  SDG 12 on ensuring sustainable consumption and production patterns (specifically Target 12.4: by 2020 achieve environmentally sound management of chemicals and all wastes throughout their lifecycle and minimizing their adverse impacts on human health and the environment). It also relates to Sustainable Development Goal 3 on ensuring healthy lives (specifically Target 3.9: by 2030 substantially reduce the number of deaths and illnesses from hazardous chemicals and air, water and soil pollution and contamination). Addressing marine plastic litter and microplastics contributes to the following SDG targets: target 11.6 on municipal and other waste; target 12.4 on the environmentally sound management of chemicals and wastes; target 12.5 on substantially reducing waste generation through prevention, reduction, recycling, and reuse; target 14.1 on reducing marine pollution including marine debris.</w:t>
            </w:r>
          </w:p>
          <w:p w14:paraId="4BB9574D" w14:textId="77777777" w:rsidR="00E40F38" w:rsidRPr="00E40F38" w:rsidRDefault="00E40F38" w:rsidP="00E40F38">
            <w:pPr>
              <w:spacing w:before="2" w:after="2"/>
              <w:rPr>
                <w:rFonts w:ascii="Roboto Regular" w:hAnsi="Roboto Regular"/>
                <w:bCs/>
                <w:sz w:val="20"/>
                <w:szCs w:val="20"/>
              </w:rPr>
            </w:pPr>
            <w:r w:rsidRPr="00E40F38">
              <w:rPr>
                <w:rFonts w:ascii="Roboto Regular" w:hAnsi="Roboto Regular"/>
                <w:b/>
                <w:bCs/>
                <w:sz w:val="20"/>
                <w:szCs w:val="20"/>
              </w:rPr>
              <w:t>Gender mainstreaming:</w:t>
            </w:r>
            <w:r w:rsidRPr="00E40F38">
              <w:rPr>
                <w:rFonts w:ascii="Roboto Regular" w:hAnsi="Roboto Regular"/>
                <w:bCs/>
                <w:i/>
                <w:sz w:val="20"/>
                <w:szCs w:val="20"/>
              </w:rPr>
              <w:t xml:space="preserve"> </w:t>
            </w:r>
            <w:r w:rsidRPr="00E40F38">
              <w:rPr>
                <w:rFonts w:ascii="Roboto Regular" w:hAnsi="Roboto Regular"/>
                <w:bCs/>
                <w:sz w:val="20"/>
                <w:szCs w:val="20"/>
              </w:rPr>
              <w:t>Membership of the different Small Intersessional Working Groups is gender neutral, and participation of women is welcome. In line with the BRS Gender Action Plan, the Secretariat will, where appropriate, encourage Parties and observers to take into account gender-related aspects in their nomination of participants, as well as when engaging consultants to carry-out the different activities. Additionally, information provided in the advice to Parties, and in the technical guidelines on the sound management of chemicals and hazardous wastes, and their impacts on human health and the environment, can assist in formulating policies to protect vulnerable populations including women and children.</w:t>
            </w:r>
          </w:p>
          <w:p w14:paraId="792D87DE" w14:textId="2056FEE4" w:rsidR="00E40F38" w:rsidRPr="00E40F38" w:rsidRDefault="00E40F38" w:rsidP="00E40F38">
            <w:pPr>
              <w:rPr>
                <w:rFonts w:ascii="Roboto Regular" w:hAnsi="Roboto Regular" w:cs="Arial"/>
                <w:b/>
                <w:iCs/>
                <w:sz w:val="20"/>
                <w:szCs w:val="20"/>
                <w:lang w:val="en-GB"/>
              </w:rPr>
            </w:pPr>
            <w:r w:rsidRPr="00E40F38">
              <w:rPr>
                <w:rFonts w:ascii="Roboto Regular" w:hAnsi="Roboto Regular"/>
                <w:b/>
                <w:bCs/>
                <w:sz w:val="20"/>
                <w:szCs w:val="20"/>
              </w:rPr>
              <w:t xml:space="preserve">Integrated Approach: </w:t>
            </w:r>
            <w:r w:rsidRPr="00E40F38">
              <w:rPr>
                <w:rFonts w:ascii="Roboto Regular" w:hAnsi="Roboto Regular"/>
                <w:bCs/>
                <w:sz w:val="20"/>
                <w:szCs w:val="20"/>
              </w:rPr>
              <w:t>The Small Intersessional Working Groups</w:t>
            </w:r>
            <w:r w:rsidRPr="00E40F38" w:rsidDel="0047581A">
              <w:rPr>
                <w:rFonts w:ascii="Roboto Regular" w:hAnsi="Roboto Regular"/>
                <w:bCs/>
                <w:sz w:val="20"/>
                <w:szCs w:val="20"/>
              </w:rPr>
              <w:t xml:space="preserve"> </w:t>
            </w:r>
            <w:r w:rsidRPr="00E40F38">
              <w:rPr>
                <w:rFonts w:ascii="Roboto Regular" w:hAnsi="Roboto Regular"/>
                <w:bCs/>
                <w:sz w:val="20"/>
                <w:szCs w:val="20"/>
              </w:rPr>
              <w:t>under this activity follow a multi-stakeholder approach, where observers to the conventions, as well as civil society, academia and industry have an active role in discussions and negotiations on the work and on the documents produced.</w:t>
            </w:r>
          </w:p>
        </w:tc>
      </w:tr>
      <w:tr w:rsidR="00E40F38" w:rsidRPr="00301266" w14:paraId="67C7839F" w14:textId="77777777" w:rsidTr="00E40F38">
        <w:trPr>
          <w:trHeight w:val="227"/>
        </w:trPr>
        <w:tc>
          <w:tcPr>
            <w:tcW w:w="9923" w:type="dxa"/>
            <w:gridSpan w:val="6"/>
            <w:tcBorders>
              <w:bottom w:val="nil"/>
            </w:tcBorders>
            <w:shd w:val="clear" w:color="auto" w:fill="C7E3D8"/>
            <w:vAlign w:val="center"/>
          </w:tcPr>
          <w:p w14:paraId="55137DA2" w14:textId="77777777" w:rsidR="00E40F38" w:rsidRPr="00301266" w:rsidRDefault="00E40F38" w:rsidP="00E40F38">
            <w:pPr>
              <w:rPr>
                <w:rFonts w:ascii="Roboto Regular" w:hAnsi="Roboto Regular" w:cs="Arial"/>
                <w:b/>
                <w:sz w:val="20"/>
                <w:szCs w:val="20"/>
              </w:rPr>
            </w:pPr>
            <w:r w:rsidRPr="00301266">
              <w:rPr>
                <w:rFonts w:ascii="Roboto Regular" w:hAnsi="Roboto Regular" w:cs="Arial"/>
                <w:b/>
                <w:sz w:val="20"/>
                <w:szCs w:val="20"/>
              </w:rPr>
              <w:t>PARTNERS</w:t>
            </w:r>
          </w:p>
        </w:tc>
      </w:tr>
      <w:tr w:rsidR="00E40F38" w:rsidRPr="00301266" w14:paraId="6DEED4B3" w14:textId="77777777" w:rsidTr="00E40F38">
        <w:trPr>
          <w:trHeight w:val="586"/>
        </w:trPr>
        <w:tc>
          <w:tcPr>
            <w:tcW w:w="9923" w:type="dxa"/>
            <w:gridSpan w:val="6"/>
            <w:tcBorders>
              <w:top w:val="nil"/>
              <w:bottom w:val="single" w:sz="2" w:space="0" w:color="000000" w:themeColor="text1"/>
            </w:tcBorders>
            <w:vAlign w:val="center"/>
          </w:tcPr>
          <w:p w14:paraId="6C114772" w14:textId="4D684FC6" w:rsidR="00E40F38" w:rsidRPr="001C33C9" w:rsidRDefault="00E40F38" w:rsidP="00E40F38">
            <w:pPr>
              <w:rPr>
                <w:rFonts w:ascii="Roboto Regular" w:hAnsi="Roboto Regular" w:cs="Arial"/>
                <w:sz w:val="20"/>
                <w:szCs w:val="20"/>
              </w:rPr>
            </w:pPr>
            <w:r w:rsidRPr="001C33C9">
              <w:rPr>
                <w:rFonts w:ascii="Roboto Regular" w:hAnsi="Roboto Regular"/>
                <w:iCs/>
                <w:sz w:val="20"/>
                <w:szCs w:val="20"/>
              </w:rPr>
              <w:t>Regional and coordinating centres of the Basel and Stockholm conventions, UNEP, FAO, Regional Seas Conventions, other relevant MEAs, industry, NGOs</w:t>
            </w:r>
          </w:p>
        </w:tc>
      </w:tr>
      <w:tr w:rsidR="00E40F38" w:rsidRPr="00301266" w14:paraId="305DCA64" w14:textId="77777777" w:rsidTr="00E40F38">
        <w:trPr>
          <w:trHeight w:val="227"/>
        </w:trPr>
        <w:tc>
          <w:tcPr>
            <w:tcW w:w="9923" w:type="dxa"/>
            <w:gridSpan w:val="6"/>
            <w:tcBorders>
              <w:bottom w:val="nil"/>
            </w:tcBorders>
            <w:shd w:val="clear" w:color="auto" w:fill="C7E3D8"/>
            <w:vAlign w:val="center"/>
          </w:tcPr>
          <w:p w14:paraId="7E62D3A1" w14:textId="77777777" w:rsidR="00E40F38" w:rsidRPr="00301266" w:rsidRDefault="00E40F38" w:rsidP="00E40F38">
            <w:pPr>
              <w:rPr>
                <w:rFonts w:ascii="Roboto Regular" w:hAnsi="Roboto Regular" w:cs="Arial"/>
                <w:b/>
                <w:sz w:val="20"/>
                <w:szCs w:val="20"/>
              </w:rPr>
            </w:pPr>
            <w:r w:rsidRPr="00301266">
              <w:rPr>
                <w:rFonts w:ascii="Roboto Regular" w:hAnsi="Roboto Regular" w:cs="Arial"/>
                <w:b/>
                <w:sz w:val="20"/>
                <w:szCs w:val="20"/>
                <w:shd w:val="clear" w:color="auto" w:fill="C7E3D8"/>
              </w:rPr>
              <w:t>PROPOSED ACTIVITIES AND BUDGET [USD]</w:t>
            </w:r>
          </w:p>
        </w:tc>
      </w:tr>
      <w:tr w:rsidR="00E40F38" w:rsidRPr="00301266" w14:paraId="6326EFBD" w14:textId="77777777" w:rsidTr="00E40F38">
        <w:trPr>
          <w:trHeight w:val="475"/>
        </w:trPr>
        <w:tc>
          <w:tcPr>
            <w:tcW w:w="6940" w:type="dxa"/>
            <w:gridSpan w:val="5"/>
            <w:tcBorders>
              <w:bottom w:val="single" w:sz="4" w:space="0" w:color="auto"/>
              <w:right w:val="single" w:sz="4" w:space="0" w:color="auto"/>
            </w:tcBorders>
            <w:shd w:val="clear" w:color="auto" w:fill="EAF1DD" w:themeFill="accent3" w:themeFillTint="33"/>
            <w:vAlign w:val="center"/>
          </w:tcPr>
          <w:p w14:paraId="192A1E65" w14:textId="77777777" w:rsidR="00E40F38" w:rsidRPr="00301266" w:rsidRDefault="00E40F38" w:rsidP="00E40F38">
            <w:pPr>
              <w:jc w:val="center"/>
              <w:rPr>
                <w:rFonts w:ascii="Roboto Regular" w:hAnsi="Roboto Regular" w:cs="Arial"/>
                <w:b/>
                <w:sz w:val="20"/>
                <w:szCs w:val="20"/>
                <w:lang w:val="en-GB"/>
              </w:rPr>
            </w:pPr>
            <w:r w:rsidRPr="00301266">
              <w:rPr>
                <w:rFonts w:ascii="Roboto Regular" w:hAnsi="Roboto Regular" w:cs="Arial"/>
                <w:b/>
                <w:sz w:val="20"/>
                <w:szCs w:val="20"/>
                <w:lang w:val="en-GB"/>
              </w:rPr>
              <w:t>Activity</w:t>
            </w:r>
          </w:p>
        </w:tc>
        <w:tc>
          <w:tcPr>
            <w:tcW w:w="2983" w:type="dxa"/>
            <w:tcBorders>
              <w:left w:val="single" w:sz="4" w:space="0" w:color="auto"/>
              <w:bottom w:val="single" w:sz="4" w:space="0" w:color="auto"/>
            </w:tcBorders>
            <w:shd w:val="clear" w:color="auto" w:fill="EAF1DD" w:themeFill="accent3" w:themeFillTint="33"/>
            <w:vAlign w:val="center"/>
          </w:tcPr>
          <w:p w14:paraId="30C726C4" w14:textId="77777777" w:rsidR="00E40F38" w:rsidRPr="00301266" w:rsidRDefault="00E40F38" w:rsidP="00E40F38">
            <w:pPr>
              <w:jc w:val="center"/>
              <w:rPr>
                <w:rFonts w:ascii="Roboto Regular" w:hAnsi="Roboto Regular" w:cs="Arial"/>
                <w:b/>
                <w:sz w:val="20"/>
                <w:szCs w:val="20"/>
                <w:lang w:val="en-GB"/>
              </w:rPr>
            </w:pPr>
            <w:r w:rsidRPr="00301266">
              <w:rPr>
                <w:rFonts w:ascii="Roboto Regular" w:hAnsi="Roboto Regular" w:cs="Arial"/>
                <w:b/>
                <w:sz w:val="20"/>
                <w:szCs w:val="20"/>
                <w:lang w:val="en-GB"/>
              </w:rPr>
              <w:t>Voluntary budget</w:t>
            </w:r>
          </w:p>
        </w:tc>
      </w:tr>
      <w:tr w:rsidR="00E40F38" w:rsidRPr="00301266" w14:paraId="71E854A6" w14:textId="77777777" w:rsidTr="0070410B">
        <w:trPr>
          <w:trHeight w:val="331"/>
        </w:trPr>
        <w:tc>
          <w:tcPr>
            <w:tcW w:w="9923" w:type="dxa"/>
            <w:gridSpan w:val="6"/>
            <w:tcBorders>
              <w:top w:val="single" w:sz="4" w:space="0" w:color="auto"/>
              <w:bottom w:val="single" w:sz="4" w:space="0" w:color="auto"/>
            </w:tcBorders>
            <w:vAlign w:val="center"/>
          </w:tcPr>
          <w:p w14:paraId="2880D7ED" w14:textId="19BA77BE" w:rsidR="00E40F38" w:rsidRPr="00E40F38" w:rsidRDefault="00E40F38" w:rsidP="00E40F38">
            <w:pPr>
              <w:rPr>
                <w:rFonts w:ascii="Roboto Regular" w:hAnsi="Roboto Regular" w:cs="Arial"/>
                <w:b/>
                <w:sz w:val="20"/>
                <w:szCs w:val="20"/>
                <w:lang w:val="en-GB"/>
              </w:rPr>
            </w:pPr>
            <w:r w:rsidRPr="00E40F38">
              <w:rPr>
                <w:rFonts w:ascii="Roboto Regular" w:hAnsi="Roboto Regular" w:cs="Arial"/>
                <w:b/>
                <w:sz w:val="20"/>
                <w:szCs w:val="20"/>
                <w:lang w:val="en-GB"/>
              </w:rPr>
              <w:t xml:space="preserve">20.1 </w:t>
            </w:r>
            <w:r w:rsidRPr="00E40F38">
              <w:rPr>
                <w:rFonts w:ascii="Roboto Regular" w:hAnsi="Roboto Regular"/>
                <w:b/>
                <w:bCs/>
                <w:sz w:val="20"/>
                <w:szCs w:val="20"/>
              </w:rPr>
              <w:t>Technical guidelines for environmentally sound management of hazardous waste and on transboundary movements of e-waste and used equipment</w:t>
            </w:r>
            <w:r w:rsidRPr="00E40F38">
              <w:rPr>
                <w:rFonts w:ascii="Roboto Regular" w:hAnsi="Roboto Regular" w:cs="Arial"/>
                <w:b/>
                <w:sz w:val="20"/>
                <w:szCs w:val="20"/>
                <w:lang w:val="en-GB"/>
              </w:rPr>
              <w:t xml:space="preserve"> </w:t>
            </w:r>
          </w:p>
        </w:tc>
      </w:tr>
      <w:tr w:rsidR="00E40F38" w:rsidRPr="00301266" w14:paraId="2D4F0BAF" w14:textId="77777777" w:rsidTr="00E40F38">
        <w:trPr>
          <w:trHeight w:val="331"/>
        </w:trPr>
        <w:tc>
          <w:tcPr>
            <w:tcW w:w="6940" w:type="dxa"/>
            <w:gridSpan w:val="5"/>
            <w:tcBorders>
              <w:top w:val="single" w:sz="4" w:space="0" w:color="auto"/>
              <w:bottom w:val="single" w:sz="4" w:space="0" w:color="auto"/>
              <w:right w:val="single" w:sz="4" w:space="0" w:color="auto"/>
            </w:tcBorders>
            <w:vAlign w:val="center"/>
          </w:tcPr>
          <w:p w14:paraId="79046780" w14:textId="541E6010" w:rsidR="00E40F38" w:rsidRPr="00301266" w:rsidRDefault="001C33C9" w:rsidP="00E40F38">
            <w:pPr>
              <w:rPr>
                <w:rFonts w:ascii="Roboto Regular" w:hAnsi="Roboto Regular" w:cs="Arial"/>
                <w:sz w:val="20"/>
                <w:szCs w:val="20"/>
                <w:lang w:val="en-GB"/>
              </w:rPr>
            </w:pPr>
            <w:r w:rsidRPr="001C33C9">
              <w:rPr>
                <w:rFonts w:ascii="Roboto Regular" w:hAnsi="Roboto Regular" w:cs="Arial"/>
                <w:sz w:val="20"/>
                <w:szCs w:val="20"/>
                <w:lang w:val="en-GB"/>
              </w:rPr>
              <w:t>Hold a face-to-face meeting of the small intersessional working group on POPs wastes to facilitate the negotiation of the development and updates of technical guidelines on POPs wastes</w:t>
            </w:r>
          </w:p>
        </w:tc>
        <w:tc>
          <w:tcPr>
            <w:tcW w:w="2983" w:type="dxa"/>
            <w:tcBorders>
              <w:top w:val="single" w:sz="4" w:space="0" w:color="auto"/>
              <w:left w:val="single" w:sz="4" w:space="0" w:color="auto"/>
              <w:bottom w:val="single" w:sz="4" w:space="0" w:color="auto"/>
            </w:tcBorders>
            <w:vAlign w:val="center"/>
          </w:tcPr>
          <w:p w14:paraId="03249404" w14:textId="11FDC404" w:rsidR="00E40F38" w:rsidRPr="00301266" w:rsidRDefault="00E40F38" w:rsidP="00E40F38">
            <w:pPr>
              <w:jc w:val="right"/>
              <w:rPr>
                <w:rFonts w:ascii="Roboto Regular" w:hAnsi="Roboto Regular" w:cs="Arial"/>
                <w:sz w:val="20"/>
                <w:szCs w:val="20"/>
                <w:lang w:val="en-GB"/>
              </w:rPr>
            </w:pPr>
            <w:r>
              <w:rPr>
                <w:rFonts w:ascii="Roboto Regular" w:hAnsi="Roboto Regular" w:cs="Arial"/>
                <w:sz w:val="20"/>
                <w:szCs w:val="20"/>
                <w:lang w:val="en-GB"/>
              </w:rPr>
              <w:t>150,000</w:t>
            </w:r>
          </w:p>
        </w:tc>
      </w:tr>
      <w:tr w:rsidR="00E40F38" w:rsidRPr="00301266" w14:paraId="784F4C23" w14:textId="77777777" w:rsidTr="00E40F38">
        <w:trPr>
          <w:trHeight w:val="331"/>
        </w:trPr>
        <w:tc>
          <w:tcPr>
            <w:tcW w:w="6940" w:type="dxa"/>
            <w:gridSpan w:val="5"/>
            <w:tcBorders>
              <w:top w:val="single" w:sz="4" w:space="0" w:color="auto"/>
              <w:bottom w:val="single" w:sz="4" w:space="0" w:color="auto"/>
              <w:right w:val="single" w:sz="4" w:space="0" w:color="auto"/>
            </w:tcBorders>
            <w:vAlign w:val="center"/>
          </w:tcPr>
          <w:p w14:paraId="4C801530" w14:textId="3C4D3455" w:rsidR="00E40F38" w:rsidRPr="00301266" w:rsidRDefault="00E40F38" w:rsidP="00E40F38">
            <w:pPr>
              <w:rPr>
                <w:rFonts w:ascii="Roboto Regular" w:hAnsi="Roboto Regular" w:cs="Arial"/>
                <w:sz w:val="20"/>
                <w:szCs w:val="20"/>
                <w:lang w:val="en-GB"/>
              </w:rPr>
            </w:pPr>
            <w:r w:rsidRPr="00E40F38">
              <w:rPr>
                <w:rFonts w:ascii="Roboto Regular" w:hAnsi="Roboto Regular" w:cs="Arial"/>
                <w:sz w:val="20"/>
                <w:szCs w:val="20"/>
                <w:lang w:val="en-GB"/>
              </w:rPr>
              <w:t xml:space="preserve">Update the </w:t>
            </w:r>
            <w:r>
              <w:rPr>
                <w:rFonts w:ascii="Roboto Regular" w:hAnsi="Roboto Regular" w:cs="Arial"/>
                <w:sz w:val="20"/>
                <w:szCs w:val="20"/>
                <w:lang w:val="en-GB"/>
              </w:rPr>
              <w:t>waste management technologies, plastic wastes, mercury wastes and e-waste technical guidelines</w:t>
            </w:r>
          </w:p>
        </w:tc>
        <w:tc>
          <w:tcPr>
            <w:tcW w:w="2983" w:type="dxa"/>
            <w:tcBorders>
              <w:top w:val="single" w:sz="4" w:space="0" w:color="auto"/>
              <w:left w:val="single" w:sz="4" w:space="0" w:color="auto"/>
              <w:bottom w:val="single" w:sz="4" w:space="0" w:color="auto"/>
            </w:tcBorders>
            <w:vAlign w:val="center"/>
          </w:tcPr>
          <w:p w14:paraId="40E6FB9B" w14:textId="1BB7406E" w:rsidR="00E40F38" w:rsidRPr="00301266" w:rsidRDefault="00E40F38" w:rsidP="00E40F38">
            <w:pPr>
              <w:jc w:val="right"/>
              <w:rPr>
                <w:rFonts w:ascii="Roboto Regular" w:hAnsi="Roboto Regular" w:cs="Arial"/>
                <w:sz w:val="20"/>
                <w:szCs w:val="20"/>
                <w:lang w:val="en-GB"/>
              </w:rPr>
            </w:pPr>
            <w:r>
              <w:rPr>
                <w:rFonts w:ascii="Roboto Regular" w:hAnsi="Roboto Regular" w:cs="Arial"/>
                <w:sz w:val="20"/>
                <w:szCs w:val="20"/>
                <w:lang w:val="en-GB"/>
              </w:rPr>
              <w:t>55,000</w:t>
            </w:r>
          </w:p>
        </w:tc>
      </w:tr>
      <w:tr w:rsidR="00E40F38" w:rsidRPr="00301266" w14:paraId="3469045D" w14:textId="77777777" w:rsidTr="006D0E18">
        <w:trPr>
          <w:trHeight w:val="331"/>
        </w:trPr>
        <w:tc>
          <w:tcPr>
            <w:tcW w:w="9923" w:type="dxa"/>
            <w:gridSpan w:val="6"/>
            <w:tcBorders>
              <w:top w:val="single" w:sz="4" w:space="0" w:color="auto"/>
              <w:bottom w:val="single" w:sz="4" w:space="0" w:color="auto"/>
            </w:tcBorders>
            <w:vAlign w:val="center"/>
          </w:tcPr>
          <w:p w14:paraId="3CC032C8" w14:textId="6F30EDC0" w:rsidR="00E40F38" w:rsidRPr="00E40F38" w:rsidRDefault="00E40F38" w:rsidP="00E40F38">
            <w:pPr>
              <w:rPr>
                <w:rFonts w:ascii="Roboto Regular" w:hAnsi="Roboto Regular" w:cs="Arial"/>
                <w:b/>
                <w:sz w:val="20"/>
                <w:szCs w:val="20"/>
                <w:lang w:val="en-GB"/>
              </w:rPr>
            </w:pPr>
            <w:r>
              <w:rPr>
                <w:rFonts w:ascii="Roboto Regular" w:hAnsi="Roboto Regular" w:cs="Arial"/>
                <w:b/>
                <w:sz w:val="20"/>
                <w:szCs w:val="20"/>
                <w:lang w:val="en-GB"/>
              </w:rPr>
              <w:t>20.3 E-notification</w:t>
            </w:r>
          </w:p>
        </w:tc>
      </w:tr>
      <w:tr w:rsidR="00E40F38" w:rsidRPr="00301266" w14:paraId="0B3E6BC2" w14:textId="77777777" w:rsidTr="00E40F38">
        <w:trPr>
          <w:trHeight w:val="331"/>
        </w:trPr>
        <w:tc>
          <w:tcPr>
            <w:tcW w:w="6940" w:type="dxa"/>
            <w:gridSpan w:val="5"/>
            <w:tcBorders>
              <w:top w:val="single" w:sz="4" w:space="0" w:color="auto"/>
              <w:bottom w:val="single" w:sz="4" w:space="0" w:color="auto"/>
              <w:right w:val="single" w:sz="4" w:space="0" w:color="auto"/>
            </w:tcBorders>
            <w:vAlign w:val="center"/>
          </w:tcPr>
          <w:p w14:paraId="3BD9383B" w14:textId="7E6406B8" w:rsidR="00E40F38" w:rsidRPr="00301266" w:rsidRDefault="00D67495" w:rsidP="006A6FAA">
            <w:pPr>
              <w:rPr>
                <w:rFonts w:ascii="Roboto Regular" w:hAnsi="Roboto Regular" w:cs="Arial"/>
                <w:sz w:val="20"/>
                <w:szCs w:val="20"/>
                <w:lang w:val="en-GB"/>
              </w:rPr>
            </w:pPr>
            <w:r w:rsidRPr="00D67495">
              <w:rPr>
                <w:rFonts w:ascii="Roboto Regular" w:hAnsi="Roboto Regular" w:cs="Arial"/>
                <w:sz w:val="20"/>
                <w:szCs w:val="20"/>
                <w:lang w:val="en-GB"/>
              </w:rPr>
              <w:t xml:space="preserve">Expert’s support </w:t>
            </w:r>
            <w:r>
              <w:rPr>
                <w:rFonts w:ascii="Roboto Regular" w:hAnsi="Roboto Regular" w:cs="Arial"/>
                <w:sz w:val="20"/>
                <w:szCs w:val="20"/>
                <w:lang w:val="en-GB"/>
              </w:rPr>
              <w:t>(</w:t>
            </w:r>
            <w:r w:rsidR="006A6FAA">
              <w:rPr>
                <w:rFonts w:ascii="Roboto Regular" w:hAnsi="Roboto Regular" w:cs="Arial"/>
                <w:sz w:val="20"/>
                <w:szCs w:val="20"/>
                <w:lang w:val="en-GB"/>
              </w:rPr>
              <w:t>Consultants</w:t>
            </w:r>
            <w:r w:rsidR="00E40F38" w:rsidRPr="00E40F38">
              <w:rPr>
                <w:rFonts w:ascii="Roboto Regular" w:hAnsi="Roboto Regular" w:cs="Arial"/>
                <w:sz w:val="20"/>
                <w:szCs w:val="20"/>
                <w:lang w:val="en-GB"/>
              </w:rPr>
              <w:t xml:space="preserve"> develop</w:t>
            </w:r>
            <w:r w:rsidR="006A6FAA">
              <w:rPr>
                <w:rFonts w:ascii="Roboto Regular" w:hAnsi="Roboto Regular" w:cs="Arial"/>
                <w:sz w:val="20"/>
                <w:szCs w:val="20"/>
                <w:lang w:val="en-GB"/>
              </w:rPr>
              <w:t>ing</w:t>
            </w:r>
            <w:r w:rsidR="00E40F38" w:rsidRPr="00E40F38">
              <w:rPr>
                <w:rFonts w:ascii="Roboto Regular" w:hAnsi="Roboto Regular" w:cs="Arial"/>
                <w:sz w:val="20"/>
                <w:szCs w:val="20"/>
                <w:lang w:val="en-GB"/>
              </w:rPr>
              <w:t xml:space="preserve"> options for steps towards an electronic system for transboundary movement</w:t>
            </w:r>
            <w:r>
              <w:rPr>
                <w:rFonts w:ascii="Roboto Regular" w:hAnsi="Roboto Regular" w:cs="Arial"/>
                <w:sz w:val="20"/>
                <w:szCs w:val="20"/>
                <w:lang w:val="en-GB"/>
              </w:rPr>
              <w:t>)</w:t>
            </w:r>
          </w:p>
        </w:tc>
        <w:tc>
          <w:tcPr>
            <w:tcW w:w="2983" w:type="dxa"/>
            <w:tcBorders>
              <w:top w:val="single" w:sz="4" w:space="0" w:color="auto"/>
              <w:left w:val="single" w:sz="4" w:space="0" w:color="auto"/>
              <w:bottom w:val="single" w:sz="4" w:space="0" w:color="auto"/>
            </w:tcBorders>
            <w:vAlign w:val="center"/>
          </w:tcPr>
          <w:p w14:paraId="16F9E121" w14:textId="3DE9A22D" w:rsidR="00E40F38" w:rsidRPr="00301266" w:rsidRDefault="003A13B7" w:rsidP="00E40F38">
            <w:pPr>
              <w:jc w:val="right"/>
              <w:rPr>
                <w:rFonts w:ascii="Roboto Regular" w:hAnsi="Roboto Regular" w:cs="Arial"/>
                <w:sz w:val="20"/>
                <w:szCs w:val="20"/>
                <w:lang w:val="en-GB"/>
              </w:rPr>
            </w:pPr>
            <w:r>
              <w:rPr>
                <w:rFonts w:ascii="Roboto Regular" w:hAnsi="Roboto Regular" w:cs="Arial"/>
                <w:sz w:val="20"/>
                <w:szCs w:val="20"/>
                <w:lang w:val="en-GB"/>
              </w:rPr>
              <w:t>15,000</w:t>
            </w:r>
          </w:p>
        </w:tc>
      </w:tr>
      <w:tr w:rsidR="00E40F38" w:rsidRPr="00301266" w14:paraId="3A203355" w14:textId="77777777" w:rsidTr="00E40F38">
        <w:trPr>
          <w:trHeight w:val="331"/>
        </w:trPr>
        <w:tc>
          <w:tcPr>
            <w:tcW w:w="6940" w:type="dxa"/>
            <w:gridSpan w:val="5"/>
            <w:tcBorders>
              <w:top w:val="single" w:sz="4" w:space="0" w:color="auto"/>
              <w:bottom w:val="single" w:sz="4" w:space="0" w:color="auto"/>
              <w:right w:val="single" w:sz="4" w:space="0" w:color="auto"/>
            </w:tcBorders>
            <w:vAlign w:val="center"/>
          </w:tcPr>
          <w:p w14:paraId="74B8B0DD" w14:textId="2B1A9C02" w:rsidR="00E40F38" w:rsidRPr="00301266" w:rsidRDefault="00D67495" w:rsidP="00E40F38">
            <w:pPr>
              <w:rPr>
                <w:rFonts w:ascii="Roboto Regular" w:hAnsi="Roboto Regular" w:cs="Arial"/>
                <w:sz w:val="20"/>
                <w:szCs w:val="20"/>
                <w:lang w:val="en-GB"/>
              </w:rPr>
            </w:pPr>
            <w:r>
              <w:rPr>
                <w:rFonts w:ascii="Roboto Regular" w:hAnsi="Roboto Regular" w:cs="Arial"/>
                <w:sz w:val="20"/>
                <w:szCs w:val="20"/>
                <w:lang w:val="en-GB"/>
              </w:rPr>
              <w:t>T</w:t>
            </w:r>
            <w:r w:rsidR="003A13B7">
              <w:rPr>
                <w:rFonts w:ascii="Roboto Regular" w:hAnsi="Roboto Regular" w:cs="Arial"/>
                <w:sz w:val="20"/>
                <w:szCs w:val="20"/>
                <w:lang w:val="en-GB"/>
              </w:rPr>
              <w:t xml:space="preserve">raining workshop on options for a Basel Convention system on the transboundary </w:t>
            </w:r>
            <w:r w:rsidRPr="00D67495">
              <w:rPr>
                <w:rFonts w:ascii="Roboto Regular" w:hAnsi="Roboto Regular" w:cs="Arial"/>
                <w:sz w:val="20"/>
                <w:szCs w:val="20"/>
                <w:lang w:val="en-GB"/>
              </w:rPr>
              <w:t>movements of wastes</w:t>
            </w:r>
          </w:p>
        </w:tc>
        <w:tc>
          <w:tcPr>
            <w:tcW w:w="2983" w:type="dxa"/>
            <w:tcBorders>
              <w:top w:val="single" w:sz="4" w:space="0" w:color="auto"/>
              <w:left w:val="single" w:sz="4" w:space="0" w:color="auto"/>
              <w:bottom w:val="single" w:sz="4" w:space="0" w:color="auto"/>
            </w:tcBorders>
            <w:vAlign w:val="center"/>
          </w:tcPr>
          <w:p w14:paraId="502BC48D" w14:textId="141B80BD" w:rsidR="00E40F38" w:rsidRPr="00301266" w:rsidRDefault="003A13B7" w:rsidP="00E40F38">
            <w:pPr>
              <w:jc w:val="right"/>
              <w:rPr>
                <w:rFonts w:ascii="Roboto Regular" w:hAnsi="Roboto Regular" w:cs="Arial"/>
                <w:sz w:val="20"/>
                <w:szCs w:val="20"/>
                <w:lang w:val="en-GB"/>
              </w:rPr>
            </w:pPr>
            <w:r>
              <w:rPr>
                <w:rFonts w:ascii="Roboto Regular" w:hAnsi="Roboto Regular" w:cs="Arial"/>
                <w:sz w:val="20"/>
                <w:szCs w:val="20"/>
                <w:lang w:val="en-GB"/>
              </w:rPr>
              <w:t>105,000</w:t>
            </w:r>
          </w:p>
        </w:tc>
      </w:tr>
      <w:tr w:rsidR="003A13B7" w:rsidRPr="00301266" w14:paraId="7A2A9DB7" w14:textId="77777777" w:rsidTr="001407B9">
        <w:trPr>
          <w:trHeight w:val="331"/>
        </w:trPr>
        <w:tc>
          <w:tcPr>
            <w:tcW w:w="9923" w:type="dxa"/>
            <w:gridSpan w:val="6"/>
            <w:tcBorders>
              <w:top w:val="single" w:sz="4" w:space="0" w:color="auto"/>
              <w:bottom w:val="single" w:sz="4" w:space="0" w:color="auto"/>
            </w:tcBorders>
            <w:vAlign w:val="center"/>
          </w:tcPr>
          <w:p w14:paraId="3798C0D6" w14:textId="425C90FD" w:rsidR="003A13B7" w:rsidRPr="003A13B7" w:rsidRDefault="003A13B7" w:rsidP="003A13B7">
            <w:pPr>
              <w:rPr>
                <w:rFonts w:ascii="Roboto Regular" w:hAnsi="Roboto Regular" w:cs="Arial"/>
                <w:b/>
                <w:sz w:val="20"/>
                <w:szCs w:val="20"/>
                <w:lang w:val="en-GB"/>
              </w:rPr>
            </w:pPr>
            <w:r w:rsidRPr="003A13B7">
              <w:rPr>
                <w:rFonts w:ascii="Roboto Regular" w:hAnsi="Roboto Regular" w:cs="Arial"/>
                <w:b/>
                <w:sz w:val="20"/>
                <w:szCs w:val="20"/>
                <w:lang w:val="en-GB"/>
              </w:rPr>
              <w:t>20.4 Waste containing nanomaterials</w:t>
            </w:r>
          </w:p>
        </w:tc>
      </w:tr>
      <w:tr w:rsidR="00E40F38" w:rsidRPr="00301266" w14:paraId="14BAE7DF" w14:textId="77777777" w:rsidTr="00E40F38">
        <w:trPr>
          <w:trHeight w:val="331"/>
        </w:trPr>
        <w:tc>
          <w:tcPr>
            <w:tcW w:w="6940" w:type="dxa"/>
            <w:gridSpan w:val="5"/>
            <w:tcBorders>
              <w:top w:val="single" w:sz="4" w:space="0" w:color="auto"/>
              <w:bottom w:val="single" w:sz="4" w:space="0" w:color="auto"/>
              <w:right w:val="single" w:sz="4" w:space="0" w:color="auto"/>
            </w:tcBorders>
            <w:vAlign w:val="center"/>
          </w:tcPr>
          <w:p w14:paraId="4FF17CBA" w14:textId="54D5FB5A" w:rsidR="00E40F38" w:rsidRPr="00301266" w:rsidRDefault="00D67495" w:rsidP="00E40F38">
            <w:pPr>
              <w:rPr>
                <w:rFonts w:ascii="Roboto Regular" w:hAnsi="Roboto Regular" w:cs="Arial"/>
                <w:sz w:val="20"/>
                <w:szCs w:val="20"/>
                <w:lang w:val="en-GB"/>
              </w:rPr>
            </w:pPr>
            <w:r>
              <w:rPr>
                <w:rFonts w:ascii="Roboto Regular" w:hAnsi="Roboto Regular" w:cs="Arial"/>
                <w:sz w:val="20"/>
                <w:szCs w:val="20"/>
                <w:lang w:val="en-GB"/>
              </w:rPr>
              <w:t>Expert’s support (Preparing</w:t>
            </w:r>
            <w:r w:rsidRPr="00D67495">
              <w:rPr>
                <w:rFonts w:ascii="Roboto Regular" w:hAnsi="Roboto Regular" w:cs="Arial"/>
                <w:sz w:val="20"/>
                <w:szCs w:val="20"/>
                <w:lang w:val="en-GB"/>
              </w:rPr>
              <w:t xml:space="preserve"> guidance on wastes containing nanomaterials</w:t>
            </w:r>
            <w:r>
              <w:rPr>
                <w:rFonts w:ascii="Roboto Regular" w:hAnsi="Roboto Regular" w:cs="Arial"/>
                <w:sz w:val="20"/>
                <w:szCs w:val="20"/>
                <w:lang w:val="en-GB"/>
              </w:rPr>
              <w:t>)</w:t>
            </w:r>
          </w:p>
        </w:tc>
        <w:tc>
          <w:tcPr>
            <w:tcW w:w="2983" w:type="dxa"/>
            <w:tcBorders>
              <w:top w:val="single" w:sz="4" w:space="0" w:color="auto"/>
              <w:left w:val="single" w:sz="4" w:space="0" w:color="auto"/>
              <w:bottom w:val="single" w:sz="4" w:space="0" w:color="auto"/>
            </w:tcBorders>
            <w:vAlign w:val="center"/>
          </w:tcPr>
          <w:p w14:paraId="7E4AC029" w14:textId="7D71620E" w:rsidR="00E40F38" w:rsidRPr="00301266" w:rsidRDefault="00E40F38" w:rsidP="00E40F38">
            <w:pPr>
              <w:jc w:val="right"/>
              <w:rPr>
                <w:rFonts w:ascii="Roboto Regular" w:hAnsi="Roboto Regular" w:cs="Arial"/>
                <w:sz w:val="20"/>
                <w:szCs w:val="20"/>
                <w:lang w:val="en-GB"/>
              </w:rPr>
            </w:pPr>
          </w:p>
        </w:tc>
      </w:tr>
      <w:tr w:rsidR="003A13B7" w:rsidRPr="00301266" w14:paraId="57CA1869" w14:textId="77777777" w:rsidTr="00AC62CE">
        <w:trPr>
          <w:trHeight w:val="331"/>
        </w:trPr>
        <w:tc>
          <w:tcPr>
            <w:tcW w:w="9923" w:type="dxa"/>
            <w:gridSpan w:val="6"/>
            <w:tcBorders>
              <w:top w:val="single" w:sz="4" w:space="0" w:color="auto"/>
              <w:bottom w:val="single" w:sz="4" w:space="0" w:color="auto"/>
            </w:tcBorders>
            <w:vAlign w:val="center"/>
          </w:tcPr>
          <w:p w14:paraId="5F338D8C" w14:textId="0117E9E6" w:rsidR="003A13B7" w:rsidRPr="003A13B7" w:rsidRDefault="003A13B7" w:rsidP="003A13B7">
            <w:pPr>
              <w:rPr>
                <w:rFonts w:ascii="Roboto Regular" w:hAnsi="Roboto Regular" w:cs="Arial"/>
                <w:b/>
                <w:sz w:val="20"/>
                <w:szCs w:val="20"/>
                <w:lang w:val="en-GB"/>
              </w:rPr>
            </w:pPr>
            <w:r w:rsidRPr="003A13B7">
              <w:rPr>
                <w:rFonts w:ascii="Roboto Regular" w:hAnsi="Roboto Regular" w:cs="Arial"/>
                <w:b/>
                <w:sz w:val="20"/>
                <w:szCs w:val="20"/>
                <w:lang w:val="en-GB"/>
              </w:rPr>
              <w:t>20.5 Plastic waste</w:t>
            </w:r>
          </w:p>
        </w:tc>
      </w:tr>
      <w:tr w:rsidR="003A13B7" w:rsidRPr="00301266" w14:paraId="6DFD2517" w14:textId="77777777" w:rsidTr="00E40F38">
        <w:trPr>
          <w:trHeight w:val="331"/>
        </w:trPr>
        <w:tc>
          <w:tcPr>
            <w:tcW w:w="6940" w:type="dxa"/>
            <w:gridSpan w:val="5"/>
            <w:tcBorders>
              <w:top w:val="single" w:sz="4" w:space="0" w:color="auto"/>
              <w:bottom w:val="single" w:sz="4" w:space="0" w:color="auto"/>
              <w:right w:val="single" w:sz="4" w:space="0" w:color="auto"/>
            </w:tcBorders>
            <w:vAlign w:val="center"/>
          </w:tcPr>
          <w:p w14:paraId="7F176B34" w14:textId="33FBCDF2" w:rsidR="003A13B7" w:rsidRPr="00301266" w:rsidRDefault="00D67495" w:rsidP="006A6FAA">
            <w:pPr>
              <w:rPr>
                <w:rFonts w:ascii="Roboto Regular" w:hAnsi="Roboto Regular" w:cs="Arial"/>
                <w:sz w:val="20"/>
                <w:szCs w:val="20"/>
                <w:lang w:val="en-GB"/>
              </w:rPr>
            </w:pPr>
            <w:r w:rsidRPr="00D67495">
              <w:rPr>
                <w:rFonts w:ascii="Roboto Regular" w:hAnsi="Roboto Regular" w:cs="Arial"/>
                <w:sz w:val="20"/>
                <w:szCs w:val="20"/>
                <w:lang w:val="en-GB"/>
              </w:rPr>
              <w:t xml:space="preserve">Expert’s support </w:t>
            </w:r>
            <w:r>
              <w:rPr>
                <w:rFonts w:ascii="Roboto Regular" w:hAnsi="Roboto Regular" w:cs="Arial"/>
                <w:sz w:val="20"/>
                <w:szCs w:val="20"/>
                <w:lang w:val="en-GB"/>
              </w:rPr>
              <w:t>(</w:t>
            </w:r>
            <w:r w:rsidR="006A6FAA">
              <w:rPr>
                <w:rFonts w:ascii="Roboto Regular" w:hAnsi="Roboto Regular" w:cs="Arial"/>
                <w:sz w:val="20"/>
                <w:szCs w:val="20"/>
                <w:lang w:val="en-GB"/>
              </w:rPr>
              <w:t>Consultants</w:t>
            </w:r>
            <w:r w:rsidR="003A13B7">
              <w:rPr>
                <w:rFonts w:ascii="Roboto Regular" w:hAnsi="Roboto Regular" w:cs="Arial"/>
                <w:sz w:val="20"/>
                <w:szCs w:val="20"/>
                <w:lang w:val="en-GB"/>
              </w:rPr>
              <w:t xml:space="preserve"> develop</w:t>
            </w:r>
            <w:r w:rsidR="006A6FAA">
              <w:rPr>
                <w:rFonts w:ascii="Roboto Regular" w:hAnsi="Roboto Regular" w:cs="Arial"/>
                <w:sz w:val="20"/>
                <w:szCs w:val="20"/>
                <w:lang w:val="en-GB"/>
              </w:rPr>
              <w:t>ing</w:t>
            </w:r>
            <w:r w:rsidR="003A13B7">
              <w:rPr>
                <w:rFonts w:ascii="Roboto Regular" w:hAnsi="Roboto Regular" w:cs="Arial"/>
                <w:sz w:val="20"/>
                <w:szCs w:val="20"/>
                <w:lang w:val="en-GB"/>
              </w:rPr>
              <w:t xml:space="preserve"> a report on issues related to plastic waste  and options for further work under the Basel Convention</w:t>
            </w:r>
            <w:r>
              <w:rPr>
                <w:rFonts w:ascii="Roboto Regular" w:hAnsi="Roboto Regular" w:cs="Arial"/>
                <w:sz w:val="20"/>
                <w:szCs w:val="20"/>
                <w:lang w:val="en-GB"/>
              </w:rPr>
              <w:t>)</w:t>
            </w:r>
          </w:p>
        </w:tc>
        <w:tc>
          <w:tcPr>
            <w:tcW w:w="2983" w:type="dxa"/>
            <w:tcBorders>
              <w:top w:val="single" w:sz="4" w:space="0" w:color="auto"/>
              <w:left w:val="single" w:sz="4" w:space="0" w:color="auto"/>
              <w:bottom w:val="single" w:sz="4" w:space="0" w:color="auto"/>
            </w:tcBorders>
            <w:vAlign w:val="center"/>
          </w:tcPr>
          <w:p w14:paraId="40789BC8" w14:textId="6A2339B6" w:rsidR="003A13B7" w:rsidRPr="00301266" w:rsidRDefault="003A13B7" w:rsidP="003A13B7">
            <w:pPr>
              <w:jc w:val="right"/>
              <w:rPr>
                <w:rFonts w:ascii="Roboto Regular" w:hAnsi="Roboto Regular" w:cs="Arial"/>
                <w:sz w:val="20"/>
                <w:szCs w:val="20"/>
                <w:lang w:val="en-GB"/>
              </w:rPr>
            </w:pPr>
            <w:r>
              <w:rPr>
                <w:rFonts w:ascii="Roboto Regular" w:hAnsi="Roboto Regular" w:cs="Arial"/>
                <w:sz w:val="20"/>
                <w:szCs w:val="20"/>
                <w:lang w:val="en-GB"/>
              </w:rPr>
              <w:t>30,000</w:t>
            </w:r>
          </w:p>
        </w:tc>
      </w:tr>
      <w:tr w:rsidR="003A13B7" w:rsidRPr="00301266" w14:paraId="6B5A2D2D" w14:textId="77777777" w:rsidTr="00E40F38">
        <w:trPr>
          <w:trHeight w:val="331"/>
        </w:trPr>
        <w:tc>
          <w:tcPr>
            <w:tcW w:w="6940" w:type="dxa"/>
            <w:gridSpan w:val="5"/>
            <w:tcBorders>
              <w:top w:val="single" w:sz="4" w:space="0" w:color="auto"/>
              <w:bottom w:val="single" w:sz="4" w:space="0" w:color="auto"/>
              <w:right w:val="single" w:sz="4" w:space="0" w:color="auto"/>
            </w:tcBorders>
            <w:shd w:val="clear" w:color="auto" w:fill="EAF1DD" w:themeFill="accent3" w:themeFillTint="33"/>
            <w:vAlign w:val="center"/>
          </w:tcPr>
          <w:p w14:paraId="005E231E" w14:textId="77777777" w:rsidR="003A13B7" w:rsidRPr="00301266" w:rsidRDefault="003A13B7" w:rsidP="003A13B7">
            <w:pPr>
              <w:jc w:val="right"/>
              <w:rPr>
                <w:rFonts w:ascii="Roboto Regular" w:hAnsi="Roboto Regular" w:cs="Arial"/>
                <w:sz w:val="20"/>
                <w:szCs w:val="20"/>
                <w:lang w:val="en-GB"/>
              </w:rPr>
            </w:pPr>
            <w:r w:rsidRPr="00301266">
              <w:rPr>
                <w:rFonts w:ascii="Roboto Regular" w:hAnsi="Roboto Regular" w:cs="Arial"/>
                <w:b/>
                <w:iCs/>
                <w:sz w:val="20"/>
                <w:szCs w:val="20"/>
                <w:lang w:val="en-GB"/>
              </w:rPr>
              <w:t>DIRECT PROJECT COST OPERATIONAL BUDGET</w:t>
            </w:r>
          </w:p>
        </w:tc>
        <w:tc>
          <w:tcPr>
            <w:tcW w:w="2983" w:type="dxa"/>
            <w:tcBorders>
              <w:top w:val="single" w:sz="4" w:space="0" w:color="auto"/>
              <w:left w:val="single" w:sz="4" w:space="0" w:color="auto"/>
              <w:bottom w:val="single" w:sz="4" w:space="0" w:color="auto"/>
            </w:tcBorders>
            <w:shd w:val="clear" w:color="auto" w:fill="EAF1DD" w:themeFill="accent3" w:themeFillTint="33"/>
            <w:vAlign w:val="center"/>
          </w:tcPr>
          <w:p w14:paraId="63C08278" w14:textId="7CCABC64" w:rsidR="003A13B7" w:rsidRPr="00301266" w:rsidRDefault="003A13B7" w:rsidP="003A13B7">
            <w:pPr>
              <w:jc w:val="right"/>
              <w:rPr>
                <w:rFonts w:ascii="Roboto Regular" w:hAnsi="Roboto Regular" w:cs="Arial"/>
                <w:sz w:val="20"/>
                <w:szCs w:val="20"/>
                <w:lang w:val="en-GB"/>
              </w:rPr>
            </w:pPr>
            <w:r>
              <w:rPr>
                <w:rFonts w:ascii="Roboto Regular" w:hAnsi="Roboto Regular" w:cs="Arial"/>
                <w:sz w:val="20"/>
                <w:szCs w:val="20"/>
                <w:lang w:val="en-GB"/>
              </w:rPr>
              <w:t>355,000</w:t>
            </w:r>
          </w:p>
        </w:tc>
      </w:tr>
      <w:tr w:rsidR="003A13B7" w:rsidRPr="00301266" w14:paraId="4427D892" w14:textId="77777777" w:rsidTr="00E40F38">
        <w:trPr>
          <w:trHeight w:val="331"/>
        </w:trPr>
        <w:tc>
          <w:tcPr>
            <w:tcW w:w="6940" w:type="dxa"/>
            <w:gridSpan w:val="5"/>
            <w:tcBorders>
              <w:top w:val="single" w:sz="4" w:space="0" w:color="auto"/>
              <w:right w:val="single" w:sz="4" w:space="0" w:color="auto"/>
            </w:tcBorders>
            <w:shd w:val="clear" w:color="auto" w:fill="EAF1DD" w:themeFill="accent3" w:themeFillTint="33"/>
            <w:vAlign w:val="center"/>
          </w:tcPr>
          <w:p w14:paraId="7D8413A6" w14:textId="77777777" w:rsidR="003A13B7" w:rsidRPr="00301266" w:rsidRDefault="003A13B7" w:rsidP="003A13B7">
            <w:pPr>
              <w:jc w:val="right"/>
              <w:rPr>
                <w:rFonts w:ascii="Roboto Regular" w:hAnsi="Roboto Regular" w:cs="Arial"/>
                <w:sz w:val="20"/>
                <w:szCs w:val="20"/>
                <w:lang w:val="en-GB"/>
              </w:rPr>
            </w:pPr>
            <w:r w:rsidRPr="00301266">
              <w:rPr>
                <w:rFonts w:ascii="Roboto Regular" w:hAnsi="Roboto Regular" w:cs="Arial"/>
                <w:i/>
                <w:iCs/>
                <w:sz w:val="20"/>
                <w:szCs w:val="20"/>
                <w:lang w:val="en-GB"/>
              </w:rPr>
              <w:t>Programme Support Costs (PSC) 13%</w:t>
            </w:r>
          </w:p>
        </w:tc>
        <w:tc>
          <w:tcPr>
            <w:tcW w:w="2983" w:type="dxa"/>
            <w:tcBorders>
              <w:top w:val="single" w:sz="4" w:space="0" w:color="auto"/>
              <w:left w:val="single" w:sz="4" w:space="0" w:color="auto"/>
            </w:tcBorders>
            <w:shd w:val="clear" w:color="auto" w:fill="EAF1DD" w:themeFill="accent3" w:themeFillTint="33"/>
            <w:vAlign w:val="center"/>
          </w:tcPr>
          <w:p w14:paraId="54D68136" w14:textId="2549C731" w:rsidR="003A13B7" w:rsidRPr="00301266" w:rsidRDefault="003A13B7" w:rsidP="003A13B7">
            <w:pPr>
              <w:jc w:val="right"/>
              <w:rPr>
                <w:rFonts w:ascii="Roboto Regular" w:hAnsi="Roboto Regular" w:cs="Arial"/>
                <w:sz w:val="20"/>
                <w:szCs w:val="20"/>
                <w:lang w:val="en-GB"/>
              </w:rPr>
            </w:pPr>
            <w:r>
              <w:rPr>
                <w:rFonts w:ascii="Roboto Regular" w:hAnsi="Roboto Regular" w:cs="Arial"/>
                <w:sz w:val="20"/>
                <w:szCs w:val="20"/>
                <w:lang w:val="en-GB"/>
              </w:rPr>
              <w:t>46,150</w:t>
            </w:r>
          </w:p>
        </w:tc>
      </w:tr>
      <w:tr w:rsidR="003A13B7" w:rsidRPr="00301266" w14:paraId="48D68208" w14:textId="77777777" w:rsidTr="00E40F38">
        <w:trPr>
          <w:trHeight w:val="331"/>
        </w:trPr>
        <w:tc>
          <w:tcPr>
            <w:tcW w:w="6940" w:type="dxa"/>
            <w:gridSpan w:val="5"/>
            <w:tcBorders>
              <w:top w:val="single" w:sz="4" w:space="0" w:color="auto"/>
              <w:right w:val="single" w:sz="4" w:space="0" w:color="auto"/>
            </w:tcBorders>
            <w:shd w:val="clear" w:color="auto" w:fill="EAF1DD" w:themeFill="accent3" w:themeFillTint="33"/>
            <w:vAlign w:val="center"/>
          </w:tcPr>
          <w:p w14:paraId="47AC3EB7" w14:textId="77777777" w:rsidR="003A13B7" w:rsidRPr="00301266" w:rsidRDefault="003A13B7" w:rsidP="003A13B7">
            <w:pPr>
              <w:jc w:val="right"/>
              <w:rPr>
                <w:rFonts w:ascii="Roboto Regular" w:hAnsi="Roboto Regular" w:cs="Arial"/>
                <w:sz w:val="20"/>
                <w:szCs w:val="20"/>
                <w:lang w:val="en-GB"/>
              </w:rPr>
            </w:pPr>
            <w:r w:rsidRPr="00301266">
              <w:rPr>
                <w:rFonts w:ascii="Roboto Regular" w:hAnsi="Roboto Regular" w:cs="Arial"/>
                <w:b/>
                <w:iCs/>
                <w:sz w:val="20"/>
                <w:szCs w:val="20"/>
                <w:lang w:val="en-GB"/>
              </w:rPr>
              <w:t>TOTAL OPERATIONAL BUDGET</w:t>
            </w:r>
          </w:p>
        </w:tc>
        <w:tc>
          <w:tcPr>
            <w:tcW w:w="2983" w:type="dxa"/>
            <w:tcBorders>
              <w:top w:val="single" w:sz="4" w:space="0" w:color="auto"/>
              <w:left w:val="single" w:sz="4" w:space="0" w:color="auto"/>
            </w:tcBorders>
            <w:shd w:val="clear" w:color="auto" w:fill="EAF1DD" w:themeFill="accent3" w:themeFillTint="33"/>
            <w:vAlign w:val="center"/>
          </w:tcPr>
          <w:p w14:paraId="27ECF743" w14:textId="580F8220" w:rsidR="003A13B7" w:rsidRPr="00301266" w:rsidRDefault="003A13B7" w:rsidP="003A13B7">
            <w:pPr>
              <w:jc w:val="right"/>
              <w:rPr>
                <w:rFonts w:ascii="Roboto Regular" w:hAnsi="Roboto Regular" w:cs="Arial"/>
                <w:sz w:val="20"/>
                <w:szCs w:val="20"/>
                <w:lang w:val="en-GB"/>
              </w:rPr>
            </w:pPr>
            <w:r>
              <w:rPr>
                <w:rFonts w:ascii="Roboto Regular" w:hAnsi="Roboto Regular" w:cs="Arial"/>
                <w:sz w:val="20"/>
                <w:szCs w:val="20"/>
                <w:lang w:val="en-GB"/>
              </w:rPr>
              <w:t>401,150</w:t>
            </w:r>
          </w:p>
        </w:tc>
      </w:tr>
    </w:tbl>
    <w:p w14:paraId="68474BB0" w14:textId="77777777" w:rsidR="000272A3" w:rsidRPr="00301266" w:rsidRDefault="000272A3" w:rsidP="000272A3">
      <w:pPr>
        <w:ind w:right="-165"/>
        <w:jc w:val="both"/>
        <w:rPr>
          <w:rFonts w:ascii="Roboto Regular" w:hAnsi="Roboto Regular" w:cs="Arial"/>
          <w:b/>
          <w:noProof/>
          <w:sz w:val="20"/>
          <w:szCs w:val="20"/>
          <w:lang w:val="en-GB"/>
        </w:rPr>
      </w:pPr>
    </w:p>
    <w:p w14:paraId="355AFA2E" w14:textId="77777777" w:rsidR="002A4921" w:rsidRPr="00301266" w:rsidRDefault="002A4921" w:rsidP="000272A3">
      <w:pPr>
        <w:tabs>
          <w:tab w:val="left" w:pos="3104"/>
          <w:tab w:val="center" w:pos="4596"/>
        </w:tabs>
        <w:jc w:val="center"/>
        <w:rPr>
          <w:rFonts w:ascii="Roboto Regular" w:hAnsi="Roboto Regular" w:cs="Times New Roman"/>
          <w:b/>
          <w:noProof/>
          <w:sz w:val="20"/>
          <w:szCs w:val="20"/>
          <w:lang w:val="en-GB"/>
        </w:rPr>
      </w:pPr>
    </w:p>
    <w:sectPr w:rsidR="002A4921" w:rsidRPr="00301266" w:rsidSect="00ED0469">
      <w:headerReference w:type="default" r:id="rId8"/>
      <w:headerReference w:type="first" r:id="rId9"/>
      <w:pgSz w:w="11906" w:h="16838"/>
      <w:pgMar w:top="-1701" w:right="1276" w:bottom="630" w:left="1440" w:header="567"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6C24" w14:textId="77777777" w:rsidR="007971D9" w:rsidRDefault="007971D9" w:rsidP="0031483E">
      <w:r>
        <w:separator/>
      </w:r>
    </w:p>
  </w:endnote>
  <w:endnote w:type="continuationSeparator" w:id="0">
    <w:p w14:paraId="5B57A5A5" w14:textId="77777777" w:rsidR="007971D9" w:rsidRDefault="007971D9"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Regular">
    <w:altName w:val="Times New Roman"/>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illSans 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07389" w14:textId="77777777" w:rsidR="007971D9" w:rsidRDefault="007971D9" w:rsidP="0031483E">
      <w:r>
        <w:separator/>
      </w:r>
    </w:p>
  </w:footnote>
  <w:footnote w:type="continuationSeparator" w:id="0">
    <w:p w14:paraId="26A88DDC" w14:textId="77777777" w:rsidR="007971D9" w:rsidRDefault="007971D9" w:rsidP="00314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w:hAnsi="Gill Sans"/>
        <w:spacing w:val="60"/>
      </w:rPr>
      <w:id w:val="2845594"/>
      <w:docPartObj>
        <w:docPartGallery w:val="Page Numbers (Top of Page)"/>
        <w:docPartUnique/>
      </w:docPartObj>
    </w:sdtPr>
    <w:sdtEndPr>
      <w:rPr>
        <w:spacing w:val="0"/>
      </w:rPr>
    </w:sdtEndPr>
    <w:sdtContent>
      <w:p w14:paraId="6B535B5C" w14:textId="74F9E8EE" w:rsidR="009F62DA" w:rsidRPr="009C4724" w:rsidRDefault="009F62DA" w:rsidP="0087699A">
        <w:pPr>
          <w:pStyle w:val="Header"/>
          <w:pBdr>
            <w:bottom w:val="single" w:sz="4" w:space="1" w:color="D9D9D9" w:themeColor="background1" w:themeShade="D9"/>
          </w:pBdr>
          <w:rPr>
            <w:rFonts w:ascii="Gill Sans" w:hAnsi="Gill Sans"/>
          </w:rPr>
        </w:pPr>
        <w:r>
          <w:rPr>
            <w:rFonts w:ascii="Gill Sans" w:hAnsi="Gill Sans"/>
            <w:noProof/>
            <w:color w:val="808080" w:themeColor="background1" w:themeShade="80"/>
            <w:sz w:val="18"/>
          </w:rPr>
          <w:drawing>
            <wp:anchor distT="0" distB="0" distL="114300" distR="114300" simplePos="0" relativeHeight="251661312" behindDoc="0" locked="0" layoutInCell="1" allowOverlap="1" wp14:anchorId="4A8E640F" wp14:editId="53A17382">
              <wp:simplePos x="0" y="0"/>
              <wp:positionH relativeFrom="column">
                <wp:posOffset>-561975</wp:posOffset>
              </wp:positionH>
              <wp:positionV relativeFrom="paragraph">
                <wp:posOffset>-245745</wp:posOffset>
              </wp:positionV>
              <wp:extent cx="6812280" cy="733425"/>
              <wp:effectExtent l="19050" t="0" r="7620" b="0"/>
              <wp:wrapNone/>
              <wp:docPr id="3"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2280" cy="733425"/>
                      </a:xfrm>
                      <a:prstGeom prst="rect">
                        <a:avLst/>
                      </a:prstGeom>
                      <a:noFill/>
                      <a:ln w="9525">
                        <a:noFill/>
                        <a:miter lim="800000"/>
                        <a:headEnd/>
                        <a:tailEnd/>
                      </a:ln>
                    </pic:spPr>
                  </pic:pic>
                </a:graphicData>
              </a:graphic>
            </wp:anchor>
          </w:drawing>
        </w:r>
        <w:r w:rsidRPr="009C4724">
          <w:rPr>
            <w:rFonts w:ascii="Gill Sans" w:hAnsi="Gill Sans"/>
            <w:color w:val="808080" w:themeColor="background1" w:themeShade="80"/>
            <w:sz w:val="18"/>
          </w:rPr>
          <w:t>Secretariat of the Basel, Rotterdam and Stockholm Conventions</w:t>
        </w:r>
        <w:r>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Pr="009C4724">
          <w:rPr>
            <w:rFonts w:ascii="Gill Sans" w:hAnsi="Gill Sans"/>
            <w:color w:val="808080" w:themeColor="background1" w:themeShade="80"/>
            <w:sz w:val="18"/>
          </w:rPr>
          <w:t xml:space="preserve">Page | </w:t>
        </w:r>
        <w:r>
          <w:fldChar w:fldCharType="begin"/>
        </w:r>
        <w:r>
          <w:instrText xml:space="preserve"> PAGE   \* MERGEFORMAT </w:instrText>
        </w:r>
        <w:r>
          <w:fldChar w:fldCharType="separate"/>
        </w:r>
        <w:r w:rsidR="00DD77F0" w:rsidRPr="00DD77F0">
          <w:rPr>
            <w:rFonts w:ascii="Gill Sans" w:hAnsi="Gill Sans"/>
            <w:noProof/>
            <w:color w:val="808080" w:themeColor="background1" w:themeShade="80"/>
            <w:sz w:val="18"/>
          </w:rPr>
          <w:t>4</w:t>
        </w:r>
        <w:r>
          <w:rPr>
            <w:rFonts w:ascii="Gill Sans" w:hAnsi="Gill Sans"/>
            <w:noProof/>
            <w:color w:val="808080" w:themeColor="background1" w:themeShade="80"/>
            <w:sz w:val="18"/>
          </w:rPr>
          <w:fldChar w:fldCharType="end"/>
        </w:r>
      </w:p>
    </w:sdtContent>
  </w:sdt>
  <w:p w14:paraId="77E4C4C4" w14:textId="77777777" w:rsidR="009F62DA" w:rsidRPr="005954C1" w:rsidRDefault="009F62DA" w:rsidP="00BA2D62">
    <w:pPr>
      <w:spacing w:line="360" w:lineRule="auto"/>
      <w:rPr>
        <w:rFonts w:ascii="GillSans Light" w:hAnsi="GillSans Light"/>
        <w:b/>
        <w:sz w:val="32"/>
      </w:rPr>
    </w:pPr>
    <w:r>
      <w:rPr>
        <w:rFonts w:ascii="GillSans Light" w:hAnsi="GillSans Light"/>
        <w:b/>
        <w:sz w:val="32"/>
      </w:rPr>
      <w:t>BASEL, ROTTERDAM AND STOCKHOLM</w:t>
    </w:r>
    <w:r>
      <w:rPr>
        <w:rFonts w:ascii="GillSans Light" w:hAnsi="GillSans Light"/>
        <w:sz w:val="32"/>
      </w:rPr>
      <w:t xml:space="preserve"> </w:t>
    </w:r>
    <w:r w:rsidRPr="005954C1">
      <w:rPr>
        <w:rFonts w:ascii="GillSans Light" w:hAnsi="GillSans Light"/>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0B4383FF" w14:textId="77777777" w:rsidTr="00A649D5">
      <w:tc>
        <w:tcPr>
          <w:tcW w:w="4769" w:type="dxa"/>
          <w:tcBorders>
            <w:top w:val="single" w:sz="4" w:space="0" w:color="auto"/>
            <w:left w:val="nil"/>
            <w:bottom w:val="nil"/>
            <w:right w:val="nil"/>
          </w:tcBorders>
        </w:tcPr>
        <w:p w14:paraId="1E5D8638"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04F2E54B" w14:textId="77777777" w:rsidR="009F62DA" w:rsidRDefault="009F62DA" w:rsidP="00A649D5">
          <w:pPr>
            <w:rPr>
              <w:rFonts w:ascii="GillSans Light" w:hAnsi="GillSans Light"/>
              <w:lang w:val="it-IT" w:eastAsia="zh-CN"/>
            </w:rPr>
          </w:pPr>
        </w:p>
        <w:p w14:paraId="755324A4"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11B1A2D7" w14:textId="77777777" w:rsidR="009F62DA" w:rsidRPr="00474B24" w:rsidRDefault="009F62DA" w:rsidP="00A649D5">
          <w:pPr>
            <w:rPr>
              <w:rFonts w:ascii="GillSans Light" w:hAnsi="GillSans Light"/>
              <w:b/>
              <w:sz w:val="14"/>
              <w:lang w:val="en-GB" w:eastAsia="zh-CN"/>
            </w:rPr>
          </w:pPr>
        </w:p>
        <w:p w14:paraId="66C0BDF0" w14:textId="77777777" w:rsidR="009F62DA" w:rsidRPr="00BE0DA3" w:rsidRDefault="009F62DA" w:rsidP="00A649D5">
          <w:pPr>
            <w:rPr>
              <w:rFonts w:ascii="GillSans Light" w:hAnsi="GillSans Light"/>
              <w:lang w:val="en-GB" w:eastAsia="zh-CN"/>
            </w:rPr>
          </w:pPr>
        </w:p>
      </w:tc>
    </w:tr>
  </w:tbl>
  <w:p w14:paraId="382B7F04" w14:textId="77777777" w:rsidR="009F62DA" w:rsidRDefault="009F62DA" w:rsidP="00360BBD">
    <w:pPr>
      <w:spacing w:line="360" w:lineRule="auto"/>
      <w:jc w:val="center"/>
      <w:rPr>
        <w:rFonts w:ascii="GillSans Light" w:hAnsi="GillSans Light"/>
        <w:b/>
        <w:sz w:val="32"/>
      </w:rPr>
    </w:pPr>
  </w:p>
  <w:p w14:paraId="77B48AD3" w14:textId="77777777" w:rsidR="009F62DA" w:rsidRDefault="009F62DA" w:rsidP="00360B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A390" w14:textId="77777777" w:rsidR="009F62DA" w:rsidRDefault="009F62DA" w:rsidP="00C078F9">
    <w:pPr>
      <w:spacing w:line="360" w:lineRule="auto"/>
      <w:rPr>
        <w:rFonts w:ascii="GillSans Light" w:hAnsi="GillSans Light"/>
        <w:b/>
        <w:sz w:val="32"/>
      </w:rPr>
    </w:pPr>
    <w:r>
      <w:rPr>
        <w:rFonts w:ascii="GillSans Light" w:hAnsi="GillSans Light"/>
        <w:b/>
        <w:noProof/>
        <w:sz w:val="32"/>
      </w:rPr>
      <w:drawing>
        <wp:anchor distT="0" distB="0" distL="114300" distR="114300" simplePos="0" relativeHeight="251659264" behindDoc="0" locked="0" layoutInCell="1" allowOverlap="1" wp14:anchorId="73D916D1" wp14:editId="6A4D52E6">
          <wp:simplePos x="0" y="0"/>
          <wp:positionH relativeFrom="column">
            <wp:posOffset>-513213</wp:posOffset>
          </wp:positionH>
          <wp:positionV relativeFrom="paragraph">
            <wp:posOffset>-284982</wp:posOffset>
          </wp:positionV>
          <wp:extent cx="6811655" cy="736979"/>
          <wp:effectExtent l="19050" t="0" r="8245" b="0"/>
          <wp:wrapNone/>
          <wp:docPr id="5"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1655" cy="736979"/>
                  </a:xfrm>
                  <a:prstGeom prst="rect">
                    <a:avLst/>
                  </a:prstGeom>
                  <a:noFill/>
                  <a:ln w="9525">
                    <a:noFill/>
                    <a:miter lim="800000"/>
                    <a:headEnd/>
                    <a:tailEnd/>
                  </a:ln>
                </pic:spPr>
              </pic:pic>
            </a:graphicData>
          </a:graphic>
        </wp:anchor>
      </w:drawing>
    </w:r>
  </w:p>
  <w:p w14:paraId="2D56B3EA" w14:textId="77777777" w:rsidR="009F62DA" w:rsidRPr="00C078F9" w:rsidRDefault="009F62DA" w:rsidP="00C078F9">
    <w:pPr>
      <w:spacing w:line="360" w:lineRule="auto"/>
      <w:rPr>
        <w:rFonts w:ascii="GillSans Light" w:hAnsi="GillSans Light"/>
        <w:b/>
        <w:sz w:val="20"/>
        <w:szCs w:val="20"/>
      </w:rPr>
    </w:pPr>
  </w:p>
  <w:p w14:paraId="7240E15C" w14:textId="77777777" w:rsidR="009F62DA" w:rsidRPr="00526113" w:rsidRDefault="009F62DA" w:rsidP="00360BBD">
    <w:pPr>
      <w:spacing w:line="360" w:lineRule="auto"/>
      <w:jc w:val="center"/>
      <w:rPr>
        <w:rFonts w:ascii="Roboto Regular" w:hAnsi="Roboto Regular"/>
        <w:b/>
        <w:sz w:val="32"/>
      </w:rPr>
    </w:pPr>
    <w:r w:rsidRPr="00526113">
      <w:rPr>
        <w:rFonts w:ascii="Roboto Regular" w:hAnsi="Roboto Regular"/>
        <w:b/>
        <w:sz w:val="32"/>
      </w:rPr>
      <w:t>BASEL, ROTTERDAM AND STOCKHOLM</w:t>
    </w:r>
    <w:r w:rsidRPr="00526113">
      <w:rPr>
        <w:rFonts w:ascii="Roboto Regular" w:hAnsi="Roboto Regular"/>
        <w:sz w:val="32"/>
      </w:rPr>
      <w:t xml:space="preserve"> </w:t>
    </w:r>
    <w:r w:rsidRPr="00526113">
      <w:rPr>
        <w:rFonts w:ascii="Roboto Regular" w:hAnsi="Roboto Regular"/>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71D76310" w14:textId="77777777" w:rsidTr="00A649D5">
      <w:tc>
        <w:tcPr>
          <w:tcW w:w="4769" w:type="dxa"/>
          <w:tcBorders>
            <w:top w:val="single" w:sz="4" w:space="0" w:color="auto"/>
            <w:left w:val="nil"/>
            <w:bottom w:val="nil"/>
            <w:right w:val="nil"/>
          </w:tcBorders>
        </w:tcPr>
        <w:p w14:paraId="3E127FF5"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66C3A574" w14:textId="77777777" w:rsidR="009F62DA" w:rsidRDefault="009F62DA" w:rsidP="00A649D5">
          <w:pPr>
            <w:rPr>
              <w:rFonts w:ascii="GillSans Light" w:hAnsi="GillSans Light"/>
              <w:lang w:val="it-IT" w:eastAsia="zh-CN"/>
            </w:rPr>
          </w:pPr>
        </w:p>
        <w:p w14:paraId="7AAF4FF8"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329BCE76" w14:textId="77777777" w:rsidR="009F62DA" w:rsidRPr="00474B24" w:rsidRDefault="009F62DA" w:rsidP="00A649D5">
          <w:pPr>
            <w:rPr>
              <w:rFonts w:ascii="GillSans Light" w:hAnsi="GillSans Light"/>
              <w:b/>
              <w:sz w:val="14"/>
              <w:lang w:val="en-GB" w:eastAsia="zh-CN"/>
            </w:rPr>
          </w:pPr>
        </w:p>
        <w:p w14:paraId="1E4C57F7" w14:textId="77777777" w:rsidR="009F62DA" w:rsidRPr="00BE0DA3" w:rsidRDefault="009F62DA" w:rsidP="00A649D5">
          <w:pPr>
            <w:rPr>
              <w:rFonts w:ascii="GillSans Light" w:hAnsi="GillSans Light"/>
              <w:lang w:val="en-GB" w:eastAsia="zh-CN"/>
            </w:rPr>
          </w:pPr>
        </w:p>
      </w:tc>
    </w:tr>
  </w:tbl>
  <w:p w14:paraId="6F004FD3" w14:textId="77777777" w:rsidR="009F62DA" w:rsidRDefault="009F62DA">
    <w:pPr>
      <w:pStyle w:val="Header"/>
    </w:pPr>
  </w:p>
  <w:p w14:paraId="7A034AF5" w14:textId="77777777" w:rsidR="009F62DA" w:rsidRPr="00BE0DA3" w:rsidRDefault="009F6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DE0"/>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77E6"/>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811533"/>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113A7"/>
    <w:multiLevelType w:val="multilevel"/>
    <w:tmpl w:val="81E2376E"/>
    <w:lvl w:ilvl="0">
      <w:start w:val="1"/>
      <w:numFmt w:val="decimal"/>
      <w:pStyle w:val="Normalnumber"/>
      <w:lvlText w:val="%1."/>
      <w:lvlJc w:val="left"/>
      <w:pPr>
        <w:tabs>
          <w:tab w:val="num" w:pos="-680"/>
        </w:tabs>
        <w:ind w:left="0" w:firstLine="0"/>
      </w:pPr>
      <w:rPr>
        <w:rFonts w:hint="default"/>
        <w:lang w:val="en-GB"/>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22C6381F"/>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5756C"/>
    <w:multiLevelType w:val="hybridMultilevel"/>
    <w:tmpl w:val="8716BDF2"/>
    <w:lvl w:ilvl="0" w:tplc="0409000F">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284786"/>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42130"/>
    <w:multiLevelType w:val="hybridMultilevel"/>
    <w:tmpl w:val="CCE86D00"/>
    <w:lvl w:ilvl="0" w:tplc="0F4A1136">
      <w:start w:val="1"/>
      <w:numFmt w:val="decimal"/>
      <w:lvlText w:val="%1."/>
      <w:lvlJc w:val="left"/>
      <w:pPr>
        <w:tabs>
          <w:tab w:val="num" w:pos="419"/>
        </w:tabs>
        <w:ind w:left="419" w:hanging="360"/>
      </w:pPr>
      <w:rPr>
        <w:rFonts w:hint="default"/>
        <w:b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2546114"/>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3AD"/>
    <w:multiLevelType w:val="hybridMultilevel"/>
    <w:tmpl w:val="67F46E92"/>
    <w:lvl w:ilvl="0" w:tplc="9B128746">
      <w:start w:val="1"/>
      <w:numFmt w:val="decimal"/>
      <w:lvlText w:val="%1."/>
      <w:lvlJc w:val="left"/>
      <w:pPr>
        <w:ind w:left="45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F316D"/>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02BEF"/>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43038"/>
    <w:multiLevelType w:val="hybridMultilevel"/>
    <w:tmpl w:val="612A05E4"/>
    <w:lvl w:ilvl="0" w:tplc="434E6478">
      <w:start w:val="1"/>
      <w:numFmt w:val="decimal"/>
      <w:lvlText w:val="%1."/>
      <w:lvlJc w:val="left"/>
      <w:pPr>
        <w:tabs>
          <w:tab w:val="num" w:pos="419"/>
        </w:tabs>
        <w:ind w:left="419" w:hanging="360"/>
      </w:pPr>
      <w:rPr>
        <w:rFonts w:hint="default"/>
        <w:b w:val="0"/>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5"/>
  </w:num>
  <w:num w:numId="5">
    <w:abstractNumId w:val="0"/>
  </w:num>
  <w:num w:numId="6">
    <w:abstractNumId w:val="7"/>
  </w:num>
  <w:num w:numId="7">
    <w:abstractNumId w:val="12"/>
  </w:num>
  <w:num w:numId="8">
    <w:abstractNumId w:val="6"/>
  </w:num>
  <w:num w:numId="9">
    <w:abstractNumId w:val="2"/>
  </w:num>
  <w:num w:numId="10">
    <w:abstractNumId w:val="1"/>
  </w:num>
  <w:num w:numId="11">
    <w:abstractNumId w:val="9"/>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16"/>
    <w:rsid w:val="00000A6C"/>
    <w:rsid w:val="00001A69"/>
    <w:rsid w:val="00002824"/>
    <w:rsid w:val="00004DBA"/>
    <w:rsid w:val="00006BC5"/>
    <w:rsid w:val="0000791C"/>
    <w:rsid w:val="000104C0"/>
    <w:rsid w:val="00010DCC"/>
    <w:rsid w:val="00012361"/>
    <w:rsid w:val="00016F71"/>
    <w:rsid w:val="000171F2"/>
    <w:rsid w:val="00017D06"/>
    <w:rsid w:val="00023FA9"/>
    <w:rsid w:val="000272A3"/>
    <w:rsid w:val="000275F6"/>
    <w:rsid w:val="00027DA3"/>
    <w:rsid w:val="00030AC5"/>
    <w:rsid w:val="0003259E"/>
    <w:rsid w:val="000328CE"/>
    <w:rsid w:val="000341CE"/>
    <w:rsid w:val="00035D1F"/>
    <w:rsid w:val="00035E01"/>
    <w:rsid w:val="0004131F"/>
    <w:rsid w:val="000425A8"/>
    <w:rsid w:val="00047531"/>
    <w:rsid w:val="00052C1C"/>
    <w:rsid w:val="00060EE7"/>
    <w:rsid w:val="00061BDC"/>
    <w:rsid w:val="00065C81"/>
    <w:rsid w:val="00071779"/>
    <w:rsid w:val="00075182"/>
    <w:rsid w:val="00075BFF"/>
    <w:rsid w:val="00082101"/>
    <w:rsid w:val="00082592"/>
    <w:rsid w:val="00084B39"/>
    <w:rsid w:val="00086E82"/>
    <w:rsid w:val="00087CBB"/>
    <w:rsid w:val="000911BF"/>
    <w:rsid w:val="000A150B"/>
    <w:rsid w:val="000A3B8E"/>
    <w:rsid w:val="000A4832"/>
    <w:rsid w:val="000B521F"/>
    <w:rsid w:val="000B5AC2"/>
    <w:rsid w:val="000B67F8"/>
    <w:rsid w:val="000C0F62"/>
    <w:rsid w:val="000C3DDA"/>
    <w:rsid w:val="000C41F9"/>
    <w:rsid w:val="000C57D3"/>
    <w:rsid w:val="000C7592"/>
    <w:rsid w:val="000D14AC"/>
    <w:rsid w:val="000D28B4"/>
    <w:rsid w:val="000D7821"/>
    <w:rsid w:val="000D7D0A"/>
    <w:rsid w:val="000E7696"/>
    <w:rsid w:val="000F4440"/>
    <w:rsid w:val="000F78E8"/>
    <w:rsid w:val="001027F2"/>
    <w:rsid w:val="00104C86"/>
    <w:rsid w:val="00106E55"/>
    <w:rsid w:val="0011529B"/>
    <w:rsid w:val="00117AF2"/>
    <w:rsid w:val="00135BEB"/>
    <w:rsid w:val="00135DA0"/>
    <w:rsid w:val="00136ACA"/>
    <w:rsid w:val="001405E5"/>
    <w:rsid w:val="00140A73"/>
    <w:rsid w:val="00144055"/>
    <w:rsid w:val="001507EF"/>
    <w:rsid w:val="001523F8"/>
    <w:rsid w:val="00153161"/>
    <w:rsid w:val="0015568E"/>
    <w:rsid w:val="00155CD6"/>
    <w:rsid w:val="001619B7"/>
    <w:rsid w:val="00162CC5"/>
    <w:rsid w:val="00163DF1"/>
    <w:rsid w:val="0016662E"/>
    <w:rsid w:val="00170444"/>
    <w:rsid w:val="00176517"/>
    <w:rsid w:val="00180C6F"/>
    <w:rsid w:val="001833E6"/>
    <w:rsid w:val="00187185"/>
    <w:rsid w:val="001872C5"/>
    <w:rsid w:val="00187599"/>
    <w:rsid w:val="00187E0C"/>
    <w:rsid w:val="0019570B"/>
    <w:rsid w:val="001B2FC5"/>
    <w:rsid w:val="001B3CEC"/>
    <w:rsid w:val="001B6FFA"/>
    <w:rsid w:val="001B7844"/>
    <w:rsid w:val="001C1FDB"/>
    <w:rsid w:val="001C3244"/>
    <w:rsid w:val="001C33C9"/>
    <w:rsid w:val="001C7629"/>
    <w:rsid w:val="001D0CAF"/>
    <w:rsid w:val="001D1ECD"/>
    <w:rsid w:val="001D301C"/>
    <w:rsid w:val="001D3A41"/>
    <w:rsid w:val="001D6DFD"/>
    <w:rsid w:val="001D79E3"/>
    <w:rsid w:val="001E0672"/>
    <w:rsid w:val="001E0C4B"/>
    <w:rsid w:val="001E52DF"/>
    <w:rsid w:val="001E5790"/>
    <w:rsid w:val="001F49D3"/>
    <w:rsid w:val="001F5494"/>
    <w:rsid w:val="00202C96"/>
    <w:rsid w:val="00207B2A"/>
    <w:rsid w:val="002115F4"/>
    <w:rsid w:val="002119B1"/>
    <w:rsid w:val="00222CD5"/>
    <w:rsid w:val="00225391"/>
    <w:rsid w:val="00231F81"/>
    <w:rsid w:val="00236146"/>
    <w:rsid w:val="0023696B"/>
    <w:rsid w:val="00236BAF"/>
    <w:rsid w:val="00237DBA"/>
    <w:rsid w:val="002410DC"/>
    <w:rsid w:val="002421D2"/>
    <w:rsid w:val="00242E1A"/>
    <w:rsid w:val="00242F9C"/>
    <w:rsid w:val="0024327A"/>
    <w:rsid w:val="0024451D"/>
    <w:rsid w:val="002510E5"/>
    <w:rsid w:val="002534C0"/>
    <w:rsid w:val="00261040"/>
    <w:rsid w:val="00261216"/>
    <w:rsid w:val="0026199F"/>
    <w:rsid w:val="00263BBD"/>
    <w:rsid w:val="00267258"/>
    <w:rsid w:val="00267328"/>
    <w:rsid w:val="00267C5C"/>
    <w:rsid w:val="00270242"/>
    <w:rsid w:val="00270EB5"/>
    <w:rsid w:val="0027422C"/>
    <w:rsid w:val="00283C34"/>
    <w:rsid w:val="002843B0"/>
    <w:rsid w:val="00285476"/>
    <w:rsid w:val="00286032"/>
    <w:rsid w:val="00290304"/>
    <w:rsid w:val="002916AA"/>
    <w:rsid w:val="00297BC5"/>
    <w:rsid w:val="002A292A"/>
    <w:rsid w:val="002A3511"/>
    <w:rsid w:val="002A4921"/>
    <w:rsid w:val="002B41B4"/>
    <w:rsid w:val="002C05EE"/>
    <w:rsid w:val="002C07C5"/>
    <w:rsid w:val="002C276A"/>
    <w:rsid w:val="002C2A03"/>
    <w:rsid w:val="002D337F"/>
    <w:rsid w:val="002D434F"/>
    <w:rsid w:val="002D4675"/>
    <w:rsid w:val="002D4916"/>
    <w:rsid w:val="002E5F6B"/>
    <w:rsid w:val="002F1B58"/>
    <w:rsid w:val="002F7886"/>
    <w:rsid w:val="002F7ADC"/>
    <w:rsid w:val="00300EB0"/>
    <w:rsid w:val="00301266"/>
    <w:rsid w:val="00304606"/>
    <w:rsid w:val="003126C9"/>
    <w:rsid w:val="0031483E"/>
    <w:rsid w:val="00315405"/>
    <w:rsid w:val="003228F9"/>
    <w:rsid w:val="00323AD7"/>
    <w:rsid w:val="003258C5"/>
    <w:rsid w:val="0035254F"/>
    <w:rsid w:val="00353DCC"/>
    <w:rsid w:val="00354C46"/>
    <w:rsid w:val="00354CA5"/>
    <w:rsid w:val="003550C5"/>
    <w:rsid w:val="003559D0"/>
    <w:rsid w:val="0035632D"/>
    <w:rsid w:val="00357F4D"/>
    <w:rsid w:val="00360473"/>
    <w:rsid w:val="00360BBD"/>
    <w:rsid w:val="00364948"/>
    <w:rsid w:val="0037431A"/>
    <w:rsid w:val="003773EA"/>
    <w:rsid w:val="00381E49"/>
    <w:rsid w:val="0038228D"/>
    <w:rsid w:val="00386E27"/>
    <w:rsid w:val="00391126"/>
    <w:rsid w:val="003922DB"/>
    <w:rsid w:val="00393A34"/>
    <w:rsid w:val="003A13B7"/>
    <w:rsid w:val="003A1678"/>
    <w:rsid w:val="003A4FB1"/>
    <w:rsid w:val="003A5C1A"/>
    <w:rsid w:val="003A5DF5"/>
    <w:rsid w:val="003B06CB"/>
    <w:rsid w:val="003B06D5"/>
    <w:rsid w:val="003B2520"/>
    <w:rsid w:val="003B4D60"/>
    <w:rsid w:val="003B62F5"/>
    <w:rsid w:val="003B77D6"/>
    <w:rsid w:val="003C1F1C"/>
    <w:rsid w:val="003C3D94"/>
    <w:rsid w:val="003C493E"/>
    <w:rsid w:val="003D2377"/>
    <w:rsid w:val="003D260E"/>
    <w:rsid w:val="003D2CF5"/>
    <w:rsid w:val="003D4631"/>
    <w:rsid w:val="003E33E9"/>
    <w:rsid w:val="003E5352"/>
    <w:rsid w:val="003E74CC"/>
    <w:rsid w:val="003F02B3"/>
    <w:rsid w:val="003F09E3"/>
    <w:rsid w:val="003F2A4E"/>
    <w:rsid w:val="003F2E69"/>
    <w:rsid w:val="003F34E8"/>
    <w:rsid w:val="003F3568"/>
    <w:rsid w:val="003F40EE"/>
    <w:rsid w:val="003F7A5A"/>
    <w:rsid w:val="0040226A"/>
    <w:rsid w:val="00404029"/>
    <w:rsid w:val="00406C78"/>
    <w:rsid w:val="004116E5"/>
    <w:rsid w:val="00416066"/>
    <w:rsid w:val="00416A88"/>
    <w:rsid w:val="004209F8"/>
    <w:rsid w:val="00420F8B"/>
    <w:rsid w:val="00423239"/>
    <w:rsid w:val="004237EA"/>
    <w:rsid w:val="00424231"/>
    <w:rsid w:val="0042582C"/>
    <w:rsid w:val="004305A2"/>
    <w:rsid w:val="00432106"/>
    <w:rsid w:val="00432117"/>
    <w:rsid w:val="00433BCE"/>
    <w:rsid w:val="004421DE"/>
    <w:rsid w:val="00443245"/>
    <w:rsid w:val="00451623"/>
    <w:rsid w:val="0045319D"/>
    <w:rsid w:val="004533F3"/>
    <w:rsid w:val="00453F2D"/>
    <w:rsid w:val="00455A56"/>
    <w:rsid w:val="00457154"/>
    <w:rsid w:val="0045734E"/>
    <w:rsid w:val="00457704"/>
    <w:rsid w:val="00465856"/>
    <w:rsid w:val="00470655"/>
    <w:rsid w:val="00472DD0"/>
    <w:rsid w:val="004736AB"/>
    <w:rsid w:val="00474956"/>
    <w:rsid w:val="00474B24"/>
    <w:rsid w:val="004754F3"/>
    <w:rsid w:val="00476543"/>
    <w:rsid w:val="00480525"/>
    <w:rsid w:val="00482FA1"/>
    <w:rsid w:val="00483805"/>
    <w:rsid w:val="004874A1"/>
    <w:rsid w:val="0048759A"/>
    <w:rsid w:val="00490D3D"/>
    <w:rsid w:val="00490DF3"/>
    <w:rsid w:val="00491875"/>
    <w:rsid w:val="00492A89"/>
    <w:rsid w:val="004A0CB9"/>
    <w:rsid w:val="004A288B"/>
    <w:rsid w:val="004A2C3E"/>
    <w:rsid w:val="004A30B3"/>
    <w:rsid w:val="004A4894"/>
    <w:rsid w:val="004A608B"/>
    <w:rsid w:val="004A65BA"/>
    <w:rsid w:val="004A78EA"/>
    <w:rsid w:val="004A7A35"/>
    <w:rsid w:val="004A7AFD"/>
    <w:rsid w:val="004B0D0F"/>
    <w:rsid w:val="004B4009"/>
    <w:rsid w:val="004B79F3"/>
    <w:rsid w:val="004B7D35"/>
    <w:rsid w:val="004C1F38"/>
    <w:rsid w:val="004C664F"/>
    <w:rsid w:val="004C6F0D"/>
    <w:rsid w:val="004C71E7"/>
    <w:rsid w:val="004D0258"/>
    <w:rsid w:val="004D264F"/>
    <w:rsid w:val="004D2703"/>
    <w:rsid w:val="004D2952"/>
    <w:rsid w:val="004D38FC"/>
    <w:rsid w:val="004D3E7A"/>
    <w:rsid w:val="004D687A"/>
    <w:rsid w:val="004D6B4E"/>
    <w:rsid w:val="004D76BE"/>
    <w:rsid w:val="004E0712"/>
    <w:rsid w:val="004E1504"/>
    <w:rsid w:val="004E3268"/>
    <w:rsid w:val="004E52C3"/>
    <w:rsid w:val="004F2A70"/>
    <w:rsid w:val="004F6A6C"/>
    <w:rsid w:val="004F7F3C"/>
    <w:rsid w:val="00502819"/>
    <w:rsid w:val="00507320"/>
    <w:rsid w:val="00507677"/>
    <w:rsid w:val="00507ABC"/>
    <w:rsid w:val="00507FDE"/>
    <w:rsid w:val="0051020D"/>
    <w:rsid w:val="00510CB4"/>
    <w:rsid w:val="005170AE"/>
    <w:rsid w:val="00520358"/>
    <w:rsid w:val="0052338C"/>
    <w:rsid w:val="00523F91"/>
    <w:rsid w:val="0052485E"/>
    <w:rsid w:val="0052524B"/>
    <w:rsid w:val="005257B7"/>
    <w:rsid w:val="00526113"/>
    <w:rsid w:val="00531BD5"/>
    <w:rsid w:val="00534D19"/>
    <w:rsid w:val="00534E1A"/>
    <w:rsid w:val="00542326"/>
    <w:rsid w:val="0054681A"/>
    <w:rsid w:val="0055380A"/>
    <w:rsid w:val="00555CAE"/>
    <w:rsid w:val="0055679B"/>
    <w:rsid w:val="00561CA6"/>
    <w:rsid w:val="00564F86"/>
    <w:rsid w:val="00587009"/>
    <w:rsid w:val="005945C7"/>
    <w:rsid w:val="00595228"/>
    <w:rsid w:val="005954C1"/>
    <w:rsid w:val="005978E6"/>
    <w:rsid w:val="005A5DDB"/>
    <w:rsid w:val="005B07D9"/>
    <w:rsid w:val="005B0A02"/>
    <w:rsid w:val="005B216C"/>
    <w:rsid w:val="005B3C8C"/>
    <w:rsid w:val="005B4DF2"/>
    <w:rsid w:val="005B51A5"/>
    <w:rsid w:val="005B6047"/>
    <w:rsid w:val="005B60EE"/>
    <w:rsid w:val="005C046B"/>
    <w:rsid w:val="005C0E7E"/>
    <w:rsid w:val="005D147A"/>
    <w:rsid w:val="005D2A5C"/>
    <w:rsid w:val="005D641E"/>
    <w:rsid w:val="005D67F9"/>
    <w:rsid w:val="005E4A19"/>
    <w:rsid w:val="005E53A9"/>
    <w:rsid w:val="005F46C4"/>
    <w:rsid w:val="005F6842"/>
    <w:rsid w:val="005F741E"/>
    <w:rsid w:val="00602606"/>
    <w:rsid w:val="0060302F"/>
    <w:rsid w:val="00604378"/>
    <w:rsid w:val="0061154D"/>
    <w:rsid w:val="006119C0"/>
    <w:rsid w:val="00615482"/>
    <w:rsid w:val="006166A1"/>
    <w:rsid w:val="00616DC0"/>
    <w:rsid w:val="00622F0E"/>
    <w:rsid w:val="00624CF2"/>
    <w:rsid w:val="006279E5"/>
    <w:rsid w:val="00627BD7"/>
    <w:rsid w:val="006314AD"/>
    <w:rsid w:val="00633101"/>
    <w:rsid w:val="006410AD"/>
    <w:rsid w:val="00641D2D"/>
    <w:rsid w:val="0064307D"/>
    <w:rsid w:val="00646E4F"/>
    <w:rsid w:val="00650904"/>
    <w:rsid w:val="006522F4"/>
    <w:rsid w:val="00652484"/>
    <w:rsid w:val="00665DCA"/>
    <w:rsid w:val="006718B0"/>
    <w:rsid w:val="00672936"/>
    <w:rsid w:val="00677C3A"/>
    <w:rsid w:val="00680FFD"/>
    <w:rsid w:val="00685A48"/>
    <w:rsid w:val="00687BB9"/>
    <w:rsid w:val="00687E52"/>
    <w:rsid w:val="006914A6"/>
    <w:rsid w:val="00692798"/>
    <w:rsid w:val="00693872"/>
    <w:rsid w:val="00695667"/>
    <w:rsid w:val="006A26F1"/>
    <w:rsid w:val="006A28F3"/>
    <w:rsid w:val="006A2EF4"/>
    <w:rsid w:val="006A48E3"/>
    <w:rsid w:val="006A6614"/>
    <w:rsid w:val="006A6FAA"/>
    <w:rsid w:val="006B31F8"/>
    <w:rsid w:val="006B7C9B"/>
    <w:rsid w:val="006C1D8C"/>
    <w:rsid w:val="006C1EA2"/>
    <w:rsid w:val="006C45BE"/>
    <w:rsid w:val="006D0AEB"/>
    <w:rsid w:val="006D2669"/>
    <w:rsid w:val="006D6076"/>
    <w:rsid w:val="006E19DC"/>
    <w:rsid w:val="006E745F"/>
    <w:rsid w:val="006F4A1A"/>
    <w:rsid w:val="006F50FB"/>
    <w:rsid w:val="006F52A2"/>
    <w:rsid w:val="006F770A"/>
    <w:rsid w:val="00700E8C"/>
    <w:rsid w:val="00701EB7"/>
    <w:rsid w:val="007036B4"/>
    <w:rsid w:val="0070374D"/>
    <w:rsid w:val="00704737"/>
    <w:rsid w:val="00705E6B"/>
    <w:rsid w:val="007074FA"/>
    <w:rsid w:val="00710AFB"/>
    <w:rsid w:val="0071549A"/>
    <w:rsid w:val="00715683"/>
    <w:rsid w:val="007177C9"/>
    <w:rsid w:val="007229E6"/>
    <w:rsid w:val="00722EC9"/>
    <w:rsid w:val="00723058"/>
    <w:rsid w:val="007313C6"/>
    <w:rsid w:val="0073570A"/>
    <w:rsid w:val="007406AA"/>
    <w:rsid w:val="007430DF"/>
    <w:rsid w:val="00743E3F"/>
    <w:rsid w:val="007443C9"/>
    <w:rsid w:val="007445E2"/>
    <w:rsid w:val="00745041"/>
    <w:rsid w:val="00750EDF"/>
    <w:rsid w:val="00751141"/>
    <w:rsid w:val="00752F16"/>
    <w:rsid w:val="0075420C"/>
    <w:rsid w:val="00754AC5"/>
    <w:rsid w:val="007558FC"/>
    <w:rsid w:val="0075725E"/>
    <w:rsid w:val="0075744B"/>
    <w:rsid w:val="0076230E"/>
    <w:rsid w:val="007642A1"/>
    <w:rsid w:val="0076560A"/>
    <w:rsid w:val="00771A86"/>
    <w:rsid w:val="0077378B"/>
    <w:rsid w:val="007757A5"/>
    <w:rsid w:val="007758B3"/>
    <w:rsid w:val="007759DC"/>
    <w:rsid w:val="00781037"/>
    <w:rsid w:val="00783AB7"/>
    <w:rsid w:val="007851BF"/>
    <w:rsid w:val="007863C0"/>
    <w:rsid w:val="0079586F"/>
    <w:rsid w:val="0079718B"/>
    <w:rsid w:val="007971D9"/>
    <w:rsid w:val="007A3AAB"/>
    <w:rsid w:val="007A5854"/>
    <w:rsid w:val="007A58AF"/>
    <w:rsid w:val="007B46E1"/>
    <w:rsid w:val="007B48B9"/>
    <w:rsid w:val="007B6DBF"/>
    <w:rsid w:val="007C0075"/>
    <w:rsid w:val="007C1EEE"/>
    <w:rsid w:val="007C2725"/>
    <w:rsid w:val="007C573C"/>
    <w:rsid w:val="007D148D"/>
    <w:rsid w:val="007D3EB3"/>
    <w:rsid w:val="007D49A4"/>
    <w:rsid w:val="007D7038"/>
    <w:rsid w:val="007D7690"/>
    <w:rsid w:val="007E0D15"/>
    <w:rsid w:val="007E15CB"/>
    <w:rsid w:val="007E181C"/>
    <w:rsid w:val="007E30BF"/>
    <w:rsid w:val="007E690B"/>
    <w:rsid w:val="00800194"/>
    <w:rsid w:val="00800FCC"/>
    <w:rsid w:val="00801E41"/>
    <w:rsid w:val="00806FAE"/>
    <w:rsid w:val="008079EF"/>
    <w:rsid w:val="00813CD6"/>
    <w:rsid w:val="0081476C"/>
    <w:rsid w:val="00820649"/>
    <w:rsid w:val="008249B9"/>
    <w:rsid w:val="008253DD"/>
    <w:rsid w:val="00826773"/>
    <w:rsid w:val="00827F2C"/>
    <w:rsid w:val="00831378"/>
    <w:rsid w:val="008328D9"/>
    <w:rsid w:val="008375DB"/>
    <w:rsid w:val="0083774F"/>
    <w:rsid w:val="00840ACB"/>
    <w:rsid w:val="00842F17"/>
    <w:rsid w:val="00844F8D"/>
    <w:rsid w:val="0085319C"/>
    <w:rsid w:val="00853FC7"/>
    <w:rsid w:val="008547AD"/>
    <w:rsid w:val="008571FB"/>
    <w:rsid w:val="00857247"/>
    <w:rsid w:val="00857D54"/>
    <w:rsid w:val="00862AF0"/>
    <w:rsid w:val="008713BA"/>
    <w:rsid w:val="008734E1"/>
    <w:rsid w:val="00874CC5"/>
    <w:rsid w:val="0087699A"/>
    <w:rsid w:val="00881E5A"/>
    <w:rsid w:val="00884A84"/>
    <w:rsid w:val="00887643"/>
    <w:rsid w:val="0088790D"/>
    <w:rsid w:val="00890471"/>
    <w:rsid w:val="00892868"/>
    <w:rsid w:val="0089697D"/>
    <w:rsid w:val="008A1228"/>
    <w:rsid w:val="008A5C0A"/>
    <w:rsid w:val="008A6640"/>
    <w:rsid w:val="008A7676"/>
    <w:rsid w:val="008B4750"/>
    <w:rsid w:val="008B609B"/>
    <w:rsid w:val="008B78AF"/>
    <w:rsid w:val="008C1040"/>
    <w:rsid w:val="008C40C2"/>
    <w:rsid w:val="008C4779"/>
    <w:rsid w:val="008C4806"/>
    <w:rsid w:val="008C5B8A"/>
    <w:rsid w:val="008D57BF"/>
    <w:rsid w:val="008D7546"/>
    <w:rsid w:val="008E1150"/>
    <w:rsid w:val="008E3054"/>
    <w:rsid w:val="008E43B1"/>
    <w:rsid w:val="008E501C"/>
    <w:rsid w:val="008E53C5"/>
    <w:rsid w:val="008F7DF3"/>
    <w:rsid w:val="009077CB"/>
    <w:rsid w:val="00910569"/>
    <w:rsid w:val="009124D6"/>
    <w:rsid w:val="00914D4C"/>
    <w:rsid w:val="009244D6"/>
    <w:rsid w:val="00926FBC"/>
    <w:rsid w:val="009270CB"/>
    <w:rsid w:val="009277DF"/>
    <w:rsid w:val="009332B1"/>
    <w:rsid w:val="009374E7"/>
    <w:rsid w:val="009420F0"/>
    <w:rsid w:val="009443E6"/>
    <w:rsid w:val="00945D09"/>
    <w:rsid w:val="009467FC"/>
    <w:rsid w:val="009474F6"/>
    <w:rsid w:val="00947EDC"/>
    <w:rsid w:val="0095119E"/>
    <w:rsid w:val="00954B20"/>
    <w:rsid w:val="009630A6"/>
    <w:rsid w:val="00975CD9"/>
    <w:rsid w:val="00977423"/>
    <w:rsid w:val="009822F3"/>
    <w:rsid w:val="009822F9"/>
    <w:rsid w:val="00990B84"/>
    <w:rsid w:val="009913DE"/>
    <w:rsid w:val="00994C29"/>
    <w:rsid w:val="009A0627"/>
    <w:rsid w:val="009A5AD0"/>
    <w:rsid w:val="009A7C05"/>
    <w:rsid w:val="009A7FC8"/>
    <w:rsid w:val="009B38CA"/>
    <w:rsid w:val="009B4061"/>
    <w:rsid w:val="009B4489"/>
    <w:rsid w:val="009B582D"/>
    <w:rsid w:val="009B6C73"/>
    <w:rsid w:val="009B7FE5"/>
    <w:rsid w:val="009C0341"/>
    <w:rsid w:val="009C3543"/>
    <w:rsid w:val="009C3CD7"/>
    <w:rsid w:val="009C4724"/>
    <w:rsid w:val="009D401D"/>
    <w:rsid w:val="009D4CC6"/>
    <w:rsid w:val="009E387B"/>
    <w:rsid w:val="009E469B"/>
    <w:rsid w:val="009E4E90"/>
    <w:rsid w:val="009E59AA"/>
    <w:rsid w:val="009F62DA"/>
    <w:rsid w:val="009F696B"/>
    <w:rsid w:val="009F6997"/>
    <w:rsid w:val="00A0108D"/>
    <w:rsid w:val="00A020F3"/>
    <w:rsid w:val="00A02569"/>
    <w:rsid w:val="00A0285D"/>
    <w:rsid w:val="00A1032C"/>
    <w:rsid w:val="00A103E2"/>
    <w:rsid w:val="00A123AF"/>
    <w:rsid w:val="00A13A10"/>
    <w:rsid w:val="00A15E6B"/>
    <w:rsid w:val="00A168BB"/>
    <w:rsid w:val="00A16EA2"/>
    <w:rsid w:val="00A1799D"/>
    <w:rsid w:val="00A17C38"/>
    <w:rsid w:val="00A206CA"/>
    <w:rsid w:val="00A207E1"/>
    <w:rsid w:val="00A22087"/>
    <w:rsid w:val="00A22311"/>
    <w:rsid w:val="00A236FF"/>
    <w:rsid w:val="00A26503"/>
    <w:rsid w:val="00A30066"/>
    <w:rsid w:val="00A31A6F"/>
    <w:rsid w:val="00A3405A"/>
    <w:rsid w:val="00A34270"/>
    <w:rsid w:val="00A34BF0"/>
    <w:rsid w:val="00A361A2"/>
    <w:rsid w:val="00A44869"/>
    <w:rsid w:val="00A47F0D"/>
    <w:rsid w:val="00A53124"/>
    <w:rsid w:val="00A55B9E"/>
    <w:rsid w:val="00A57305"/>
    <w:rsid w:val="00A605B8"/>
    <w:rsid w:val="00A63E74"/>
    <w:rsid w:val="00A649D5"/>
    <w:rsid w:val="00A66D92"/>
    <w:rsid w:val="00A70C12"/>
    <w:rsid w:val="00A764B1"/>
    <w:rsid w:val="00A823BE"/>
    <w:rsid w:val="00A86105"/>
    <w:rsid w:val="00A90852"/>
    <w:rsid w:val="00A95A85"/>
    <w:rsid w:val="00A9653B"/>
    <w:rsid w:val="00A973B9"/>
    <w:rsid w:val="00A97FCB"/>
    <w:rsid w:val="00AA5187"/>
    <w:rsid w:val="00AA7636"/>
    <w:rsid w:val="00AB4379"/>
    <w:rsid w:val="00AB5825"/>
    <w:rsid w:val="00AC6AE9"/>
    <w:rsid w:val="00AD57C3"/>
    <w:rsid w:val="00AE068A"/>
    <w:rsid w:val="00AE3D4E"/>
    <w:rsid w:val="00AE515F"/>
    <w:rsid w:val="00AF130D"/>
    <w:rsid w:val="00AF484E"/>
    <w:rsid w:val="00AF55BC"/>
    <w:rsid w:val="00B0170E"/>
    <w:rsid w:val="00B05B23"/>
    <w:rsid w:val="00B12884"/>
    <w:rsid w:val="00B15F8A"/>
    <w:rsid w:val="00B20F64"/>
    <w:rsid w:val="00B22C3D"/>
    <w:rsid w:val="00B248A6"/>
    <w:rsid w:val="00B26F5C"/>
    <w:rsid w:val="00B271E5"/>
    <w:rsid w:val="00B319E2"/>
    <w:rsid w:val="00B341A8"/>
    <w:rsid w:val="00B34CB9"/>
    <w:rsid w:val="00B35DDA"/>
    <w:rsid w:val="00B37BCA"/>
    <w:rsid w:val="00B51BE9"/>
    <w:rsid w:val="00B54617"/>
    <w:rsid w:val="00B564B3"/>
    <w:rsid w:val="00B57A9D"/>
    <w:rsid w:val="00B67037"/>
    <w:rsid w:val="00B676EA"/>
    <w:rsid w:val="00B6793A"/>
    <w:rsid w:val="00B67974"/>
    <w:rsid w:val="00B67ABD"/>
    <w:rsid w:val="00B711D8"/>
    <w:rsid w:val="00B76BD8"/>
    <w:rsid w:val="00B77033"/>
    <w:rsid w:val="00B77C08"/>
    <w:rsid w:val="00B77F9D"/>
    <w:rsid w:val="00B80CC6"/>
    <w:rsid w:val="00B83E98"/>
    <w:rsid w:val="00B84639"/>
    <w:rsid w:val="00B91487"/>
    <w:rsid w:val="00B97CE8"/>
    <w:rsid w:val="00BA2D62"/>
    <w:rsid w:val="00BA44B1"/>
    <w:rsid w:val="00BA6357"/>
    <w:rsid w:val="00BB58D7"/>
    <w:rsid w:val="00BC02AF"/>
    <w:rsid w:val="00BC48BE"/>
    <w:rsid w:val="00BD0AA2"/>
    <w:rsid w:val="00BD247C"/>
    <w:rsid w:val="00BD3B55"/>
    <w:rsid w:val="00BD7685"/>
    <w:rsid w:val="00BE0DA3"/>
    <w:rsid w:val="00BE6880"/>
    <w:rsid w:val="00BE7FCB"/>
    <w:rsid w:val="00BF7DC9"/>
    <w:rsid w:val="00C02811"/>
    <w:rsid w:val="00C048B4"/>
    <w:rsid w:val="00C06AD0"/>
    <w:rsid w:val="00C078F9"/>
    <w:rsid w:val="00C07BFE"/>
    <w:rsid w:val="00C126E1"/>
    <w:rsid w:val="00C164A1"/>
    <w:rsid w:val="00C24B7E"/>
    <w:rsid w:val="00C25821"/>
    <w:rsid w:val="00C25C6A"/>
    <w:rsid w:val="00C26A27"/>
    <w:rsid w:val="00C312FE"/>
    <w:rsid w:val="00C3219A"/>
    <w:rsid w:val="00C32A18"/>
    <w:rsid w:val="00C35232"/>
    <w:rsid w:val="00C50547"/>
    <w:rsid w:val="00C53D20"/>
    <w:rsid w:val="00C608A0"/>
    <w:rsid w:val="00C61B12"/>
    <w:rsid w:val="00C626F4"/>
    <w:rsid w:val="00C63A59"/>
    <w:rsid w:val="00C660E5"/>
    <w:rsid w:val="00C66AD2"/>
    <w:rsid w:val="00C673DB"/>
    <w:rsid w:val="00C71B5C"/>
    <w:rsid w:val="00C71D9E"/>
    <w:rsid w:val="00C720C5"/>
    <w:rsid w:val="00C73C0C"/>
    <w:rsid w:val="00C7527C"/>
    <w:rsid w:val="00C755F5"/>
    <w:rsid w:val="00C75761"/>
    <w:rsid w:val="00C76C23"/>
    <w:rsid w:val="00C83665"/>
    <w:rsid w:val="00C8374F"/>
    <w:rsid w:val="00C86C39"/>
    <w:rsid w:val="00C8792F"/>
    <w:rsid w:val="00C93412"/>
    <w:rsid w:val="00C963E0"/>
    <w:rsid w:val="00CA456A"/>
    <w:rsid w:val="00CA7B26"/>
    <w:rsid w:val="00CB0A89"/>
    <w:rsid w:val="00CB4B44"/>
    <w:rsid w:val="00CC3B8A"/>
    <w:rsid w:val="00CD0CFF"/>
    <w:rsid w:val="00CE09A7"/>
    <w:rsid w:val="00CE2FF4"/>
    <w:rsid w:val="00CE4294"/>
    <w:rsid w:val="00CE517B"/>
    <w:rsid w:val="00CF1983"/>
    <w:rsid w:val="00CF19A3"/>
    <w:rsid w:val="00CF299C"/>
    <w:rsid w:val="00CF6E15"/>
    <w:rsid w:val="00CF6FBB"/>
    <w:rsid w:val="00CF7BDD"/>
    <w:rsid w:val="00D0158E"/>
    <w:rsid w:val="00D02D65"/>
    <w:rsid w:val="00D02F51"/>
    <w:rsid w:val="00D03F09"/>
    <w:rsid w:val="00D06058"/>
    <w:rsid w:val="00D10455"/>
    <w:rsid w:val="00D12F48"/>
    <w:rsid w:val="00D1365D"/>
    <w:rsid w:val="00D143FC"/>
    <w:rsid w:val="00D1660E"/>
    <w:rsid w:val="00D16D8F"/>
    <w:rsid w:val="00D20A13"/>
    <w:rsid w:val="00D22618"/>
    <w:rsid w:val="00D25438"/>
    <w:rsid w:val="00D255AF"/>
    <w:rsid w:val="00D26D05"/>
    <w:rsid w:val="00D30770"/>
    <w:rsid w:val="00D310C1"/>
    <w:rsid w:val="00D314D6"/>
    <w:rsid w:val="00D33FC3"/>
    <w:rsid w:val="00D46FEE"/>
    <w:rsid w:val="00D50BBD"/>
    <w:rsid w:val="00D52142"/>
    <w:rsid w:val="00D52C4A"/>
    <w:rsid w:val="00D55567"/>
    <w:rsid w:val="00D67495"/>
    <w:rsid w:val="00D72B1B"/>
    <w:rsid w:val="00D72E98"/>
    <w:rsid w:val="00D76FA6"/>
    <w:rsid w:val="00D813AD"/>
    <w:rsid w:val="00DA099F"/>
    <w:rsid w:val="00DA0DA6"/>
    <w:rsid w:val="00DA214F"/>
    <w:rsid w:val="00DA34BC"/>
    <w:rsid w:val="00DA57EF"/>
    <w:rsid w:val="00DB1594"/>
    <w:rsid w:val="00DB213A"/>
    <w:rsid w:val="00DB61E5"/>
    <w:rsid w:val="00DC1748"/>
    <w:rsid w:val="00DC1B90"/>
    <w:rsid w:val="00DC3001"/>
    <w:rsid w:val="00DC6E1A"/>
    <w:rsid w:val="00DC6F3A"/>
    <w:rsid w:val="00DC73FD"/>
    <w:rsid w:val="00DD0461"/>
    <w:rsid w:val="00DD180D"/>
    <w:rsid w:val="00DD268E"/>
    <w:rsid w:val="00DD5E59"/>
    <w:rsid w:val="00DD77F0"/>
    <w:rsid w:val="00DE0F3F"/>
    <w:rsid w:val="00DE3F1F"/>
    <w:rsid w:val="00DF1DD2"/>
    <w:rsid w:val="00E02494"/>
    <w:rsid w:val="00E030CA"/>
    <w:rsid w:val="00E2245F"/>
    <w:rsid w:val="00E2336A"/>
    <w:rsid w:val="00E317C7"/>
    <w:rsid w:val="00E37CBE"/>
    <w:rsid w:val="00E40F38"/>
    <w:rsid w:val="00E442FC"/>
    <w:rsid w:val="00E44E35"/>
    <w:rsid w:val="00E54748"/>
    <w:rsid w:val="00E5693A"/>
    <w:rsid w:val="00E644B6"/>
    <w:rsid w:val="00E65D66"/>
    <w:rsid w:val="00E70C3C"/>
    <w:rsid w:val="00E73A7B"/>
    <w:rsid w:val="00E82D79"/>
    <w:rsid w:val="00E83CA3"/>
    <w:rsid w:val="00E9398F"/>
    <w:rsid w:val="00E93A3C"/>
    <w:rsid w:val="00E9629A"/>
    <w:rsid w:val="00E97DCA"/>
    <w:rsid w:val="00EA5305"/>
    <w:rsid w:val="00EA5BD3"/>
    <w:rsid w:val="00EA7CCB"/>
    <w:rsid w:val="00EB07D9"/>
    <w:rsid w:val="00EB239D"/>
    <w:rsid w:val="00EB4A5C"/>
    <w:rsid w:val="00EC3E40"/>
    <w:rsid w:val="00EC41AD"/>
    <w:rsid w:val="00EC4767"/>
    <w:rsid w:val="00EC505A"/>
    <w:rsid w:val="00EC70DB"/>
    <w:rsid w:val="00ED011D"/>
    <w:rsid w:val="00ED0469"/>
    <w:rsid w:val="00ED23F8"/>
    <w:rsid w:val="00ED33FF"/>
    <w:rsid w:val="00ED502B"/>
    <w:rsid w:val="00ED5D22"/>
    <w:rsid w:val="00EE078B"/>
    <w:rsid w:val="00EE4691"/>
    <w:rsid w:val="00EF0D80"/>
    <w:rsid w:val="00EF3458"/>
    <w:rsid w:val="00EF57EF"/>
    <w:rsid w:val="00EF6BD4"/>
    <w:rsid w:val="00EF6F10"/>
    <w:rsid w:val="00EF6FD4"/>
    <w:rsid w:val="00F02702"/>
    <w:rsid w:val="00F05921"/>
    <w:rsid w:val="00F061C5"/>
    <w:rsid w:val="00F11B93"/>
    <w:rsid w:val="00F15B1B"/>
    <w:rsid w:val="00F201F1"/>
    <w:rsid w:val="00F21409"/>
    <w:rsid w:val="00F21C60"/>
    <w:rsid w:val="00F2495B"/>
    <w:rsid w:val="00F25E08"/>
    <w:rsid w:val="00F27399"/>
    <w:rsid w:val="00F331A5"/>
    <w:rsid w:val="00F333A5"/>
    <w:rsid w:val="00F35460"/>
    <w:rsid w:val="00F3592E"/>
    <w:rsid w:val="00F36513"/>
    <w:rsid w:val="00F37438"/>
    <w:rsid w:val="00F4443E"/>
    <w:rsid w:val="00F45853"/>
    <w:rsid w:val="00F505EE"/>
    <w:rsid w:val="00F53ED3"/>
    <w:rsid w:val="00F573F8"/>
    <w:rsid w:val="00F645D7"/>
    <w:rsid w:val="00F67856"/>
    <w:rsid w:val="00F709AF"/>
    <w:rsid w:val="00F71028"/>
    <w:rsid w:val="00F72823"/>
    <w:rsid w:val="00F801A3"/>
    <w:rsid w:val="00F82C2C"/>
    <w:rsid w:val="00F84E7D"/>
    <w:rsid w:val="00F85EDE"/>
    <w:rsid w:val="00F87934"/>
    <w:rsid w:val="00F87C33"/>
    <w:rsid w:val="00F95736"/>
    <w:rsid w:val="00F96645"/>
    <w:rsid w:val="00FA1CB4"/>
    <w:rsid w:val="00FA39F1"/>
    <w:rsid w:val="00FA6413"/>
    <w:rsid w:val="00FC349E"/>
    <w:rsid w:val="00FC366F"/>
    <w:rsid w:val="00FC44D5"/>
    <w:rsid w:val="00FC73E4"/>
    <w:rsid w:val="00FD00D8"/>
    <w:rsid w:val="00FD0538"/>
    <w:rsid w:val="00FD173F"/>
    <w:rsid w:val="00FD2106"/>
    <w:rsid w:val="00FD58AE"/>
    <w:rsid w:val="00FD7D06"/>
    <w:rsid w:val="00FE1BBF"/>
    <w:rsid w:val="00FE2EC5"/>
    <w:rsid w:val="00FE37CB"/>
    <w:rsid w:val="00FF574D"/>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7D21BD"/>
  <w15:docId w15:val="{420C8726-93C7-4C75-BDC9-A2BA80A5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3E"/>
    <w:pPr>
      <w:spacing w:after="0" w:line="240" w:lineRule="auto"/>
    </w:pPr>
    <w:rPr>
      <w:sz w:val="24"/>
      <w:szCs w:val="24"/>
      <w:lang w:val="en-US"/>
    </w:rPr>
  </w:style>
  <w:style w:type="paragraph" w:styleId="Heading1">
    <w:name w:val="heading 1"/>
    <w:aliases w:val="h1"/>
    <w:next w:val="Normal"/>
    <w:link w:val="Heading1Char"/>
    <w:qFormat/>
    <w:rsid w:val="002421D2"/>
    <w:pPr>
      <w:keepNext/>
      <w:pageBreakBefore/>
      <w:pBdr>
        <w:bottom w:val="single" w:sz="4" w:space="1" w:color="auto"/>
      </w:pBdr>
      <w:spacing w:before="360" w:after="240" w:line="240" w:lineRule="auto"/>
      <w:outlineLvl w:val="0"/>
    </w:pPr>
    <w:rPr>
      <w:rFonts w:ascii="Arial" w:eastAsia="Times New Roman" w:hAnsi="Arial" w:cs="Times New Roman"/>
      <w:b/>
      <w:sz w:val="40"/>
      <w:szCs w:val="20"/>
      <w:lang w:val="en-US"/>
    </w:rPr>
  </w:style>
  <w:style w:type="paragraph" w:styleId="Heading2">
    <w:name w:val="heading 2"/>
    <w:aliases w:val="h2"/>
    <w:next w:val="Normal"/>
    <w:link w:val="Heading2Char"/>
    <w:qFormat/>
    <w:rsid w:val="002421D2"/>
    <w:pPr>
      <w:keepNext/>
      <w:spacing w:before="300" w:after="240" w:line="240" w:lineRule="auto"/>
      <w:outlineLvl w:val="1"/>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rsid w:val="00C078F9"/>
    <w:rPr>
      <w:color w:val="0000FF"/>
      <w:u w:val="single"/>
    </w:rPr>
  </w:style>
  <w:style w:type="paragraph" w:customStyle="1" w:styleId="Bodytext">
    <w:name w:val="Bodytext"/>
    <w:aliases w:val="bt"/>
    <w:basedOn w:val="Normal"/>
    <w:rsid w:val="00564F86"/>
    <w:pPr>
      <w:spacing w:after="240"/>
    </w:pPr>
    <w:rPr>
      <w:rFonts w:ascii="Times New Roman" w:eastAsia="Times New Roman" w:hAnsi="Times New Roman" w:cs="Times New Roman"/>
      <w:sz w:val="22"/>
      <w:szCs w:val="20"/>
    </w:rPr>
  </w:style>
  <w:style w:type="character" w:customStyle="1" w:styleId="HighlightedVariable">
    <w:name w:val="Highlighted Variable"/>
    <w:rsid w:val="00564F86"/>
    <w:rPr>
      <w:color w:val="0000FF"/>
    </w:rPr>
  </w:style>
  <w:style w:type="paragraph" w:styleId="Title">
    <w:name w:val="Title"/>
    <w:link w:val="TitleChar"/>
    <w:qFormat/>
    <w:rsid w:val="00564F86"/>
    <w:pPr>
      <w:keepLines/>
      <w:spacing w:after="120" w:line="240" w:lineRule="auto"/>
      <w:ind w:left="1440" w:right="720"/>
      <w:outlineLvl w:val="0"/>
    </w:pPr>
    <w:rPr>
      <w:rFonts w:ascii="Arial" w:eastAsia="Times New Roman" w:hAnsi="Arial" w:cs="Times New Roman"/>
      <w:b/>
      <w:sz w:val="44"/>
      <w:szCs w:val="20"/>
      <w:lang w:val="en-US"/>
    </w:rPr>
  </w:style>
  <w:style w:type="character" w:customStyle="1" w:styleId="TitleChar">
    <w:name w:val="Title Char"/>
    <w:basedOn w:val="DefaultParagraphFont"/>
    <w:link w:val="Title"/>
    <w:rsid w:val="00564F86"/>
    <w:rPr>
      <w:rFonts w:ascii="Arial" w:eastAsia="Times New Roman" w:hAnsi="Arial" w:cs="Times New Roman"/>
      <w:b/>
      <w:sz w:val="44"/>
      <w:szCs w:val="20"/>
      <w:lang w:val="en-US"/>
    </w:rPr>
  </w:style>
  <w:style w:type="paragraph" w:styleId="BodyText0">
    <w:name w:val="Body Text"/>
    <w:basedOn w:val="Normal"/>
    <w:link w:val="BodyTextChar"/>
    <w:rsid w:val="00564F86"/>
    <w:rPr>
      <w:rFonts w:ascii="Times New Roman" w:eastAsia="Times New Roman" w:hAnsi="Times New Roman" w:cs="Times New Roman"/>
      <w:i/>
      <w:color w:val="0000FF"/>
      <w:sz w:val="22"/>
      <w:szCs w:val="20"/>
    </w:rPr>
  </w:style>
  <w:style w:type="character" w:customStyle="1" w:styleId="BodyTextChar">
    <w:name w:val="Body Text Char"/>
    <w:basedOn w:val="DefaultParagraphFont"/>
    <w:link w:val="BodyText0"/>
    <w:rsid w:val="00564F86"/>
    <w:rPr>
      <w:rFonts w:ascii="Times New Roman" w:eastAsia="Times New Roman" w:hAnsi="Times New Roman" w:cs="Times New Roman"/>
      <w:i/>
      <w:color w:val="0000FF"/>
      <w:szCs w:val="20"/>
      <w:lang w:val="en-US"/>
    </w:rPr>
  </w:style>
  <w:style w:type="paragraph" w:styleId="FootnoteText">
    <w:name w:val="footnote text"/>
    <w:basedOn w:val="Normal"/>
    <w:link w:val="FootnoteTextChar"/>
    <w:semiHidden/>
    <w:rsid w:val="008B78A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78AF"/>
    <w:rPr>
      <w:rFonts w:ascii="Times New Roman" w:eastAsia="Times New Roman" w:hAnsi="Times New Roman" w:cs="Times New Roman"/>
      <w:sz w:val="20"/>
      <w:szCs w:val="20"/>
      <w:lang w:val="en-US"/>
    </w:rPr>
  </w:style>
  <w:style w:type="character" w:styleId="FootnoteReference">
    <w:name w:val="footnote reference"/>
    <w:semiHidden/>
    <w:rsid w:val="008B78AF"/>
    <w:rPr>
      <w:vertAlign w:val="superscript"/>
    </w:rPr>
  </w:style>
  <w:style w:type="paragraph" w:styleId="ListParagraph">
    <w:name w:val="List Paragraph"/>
    <w:basedOn w:val="Normal"/>
    <w:uiPriority w:val="34"/>
    <w:qFormat/>
    <w:rsid w:val="00002824"/>
    <w:pPr>
      <w:ind w:left="720"/>
      <w:contextualSpacing/>
    </w:pPr>
  </w:style>
  <w:style w:type="character" w:customStyle="1" w:styleId="Heading1Char">
    <w:name w:val="Heading 1 Char"/>
    <w:aliases w:val="h1 Char"/>
    <w:basedOn w:val="DefaultParagraphFont"/>
    <w:link w:val="Heading1"/>
    <w:rsid w:val="002421D2"/>
    <w:rPr>
      <w:rFonts w:ascii="Arial" w:eastAsia="Times New Roman" w:hAnsi="Arial" w:cs="Times New Roman"/>
      <w:b/>
      <w:sz w:val="40"/>
      <w:szCs w:val="20"/>
      <w:lang w:val="en-US"/>
    </w:rPr>
  </w:style>
  <w:style w:type="character" w:customStyle="1" w:styleId="Heading2Char">
    <w:name w:val="Heading 2 Char"/>
    <w:aliases w:val="h2 Char"/>
    <w:basedOn w:val="DefaultParagraphFont"/>
    <w:link w:val="Heading2"/>
    <w:rsid w:val="002421D2"/>
    <w:rPr>
      <w:rFonts w:ascii="Arial" w:eastAsia="Times New Roman" w:hAnsi="Arial" w:cs="Times New Roman"/>
      <w:b/>
      <w:sz w:val="28"/>
      <w:szCs w:val="20"/>
      <w:lang w:val="en-US"/>
    </w:rPr>
  </w:style>
  <w:style w:type="paragraph" w:styleId="NormalWeb">
    <w:name w:val="Normal (Web)"/>
    <w:basedOn w:val="Normal"/>
    <w:uiPriority w:val="99"/>
    <w:rsid w:val="00087CBB"/>
    <w:pPr>
      <w:spacing w:before="100" w:beforeAutospacing="1" w:after="100" w:afterAutospacing="1"/>
    </w:pPr>
    <w:rPr>
      <w:rFonts w:ascii="Times New Roman" w:eastAsia="MS Mincho" w:hAnsi="Times New Roman" w:cs="Times New Roman"/>
      <w:lang w:val="fr-FR" w:eastAsia="ja-JP"/>
    </w:rPr>
  </w:style>
  <w:style w:type="paragraph" w:styleId="BodyText3">
    <w:name w:val="Body Text 3"/>
    <w:basedOn w:val="Normal"/>
    <w:link w:val="BodyText3Char"/>
    <w:rsid w:val="002115F4"/>
    <w:pPr>
      <w:spacing w:after="120"/>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rsid w:val="002115F4"/>
    <w:rPr>
      <w:rFonts w:ascii="Times New Roman" w:eastAsia="Times New Roman" w:hAnsi="Times New Roman" w:cs="Times New Roman"/>
      <w:sz w:val="16"/>
      <w:szCs w:val="16"/>
      <w:lang w:eastAsia="zh-CN"/>
    </w:rPr>
  </w:style>
  <w:style w:type="paragraph" w:styleId="ListBullet">
    <w:name w:val="List Bullet"/>
    <w:basedOn w:val="Normal"/>
    <w:autoRedefine/>
    <w:rsid w:val="00420F8B"/>
    <w:pPr>
      <w:spacing w:after="240"/>
      <w:ind w:left="480"/>
      <w:jc w:val="both"/>
    </w:pPr>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3126C9"/>
    <w:rPr>
      <w:sz w:val="18"/>
      <w:szCs w:val="18"/>
    </w:rPr>
  </w:style>
  <w:style w:type="paragraph" w:styleId="CommentText">
    <w:name w:val="annotation text"/>
    <w:basedOn w:val="Normal"/>
    <w:link w:val="CommentTextChar"/>
    <w:uiPriority w:val="99"/>
    <w:semiHidden/>
    <w:unhideWhenUsed/>
    <w:rsid w:val="003126C9"/>
  </w:style>
  <w:style w:type="character" w:customStyle="1" w:styleId="CommentTextChar">
    <w:name w:val="Comment Text Char"/>
    <w:basedOn w:val="DefaultParagraphFont"/>
    <w:link w:val="CommentText"/>
    <w:uiPriority w:val="99"/>
    <w:semiHidden/>
    <w:rsid w:val="003126C9"/>
    <w:rPr>
      <w:sz w:val="24"/>
      <w:szCs w:val="24"/>
      <w:lang w:val="en-US"/>
    </w:rPr>
  </w:style>
  <w:style w:type="paragraph" w:styleId="CommentSubject">
    <w:name w:val="annotation subject"/>
    <w:basedOn w:val="CommentText"/>
    <w:next w:val="CommentText"/>
    <w:link w:val="CommentSubjectChar"/>
    <w:uiPriority w:val="99"/>
    <w:semiHidden/>
    <w:unhideWhenUsed/>
    <w:rsid w:val="003126C9"/>
    <w:rPr>
      <w:b/>
      <w:bCs/>
      <w:sz w:val="20"/>
      <w:szCs w:val="20"/>
    </w:rPr>
  </w:style>
  <w:style w:type="character" w:customStyle="1" w:styleId="CommentSubjectChar">
    <w:name w:val="Comment Subject Char"/>
    <w:basedOn w:val="CommentTextChar"/>
    <w:link w:val="CommentSubject"/>
    <w:uiPriority w:val="99"/>
    <w:semiHidden/>
    <w:rsid w:val="003126C9"/>
    <w:rPr>
      <w:b/>
      <w:bCs/>
      <w:sz w:val="20"/>
      <w:szCs w:val="20"/>
      <w:lang w:val="en-US"/>
    </w:rPr>
  </w:style>
  <w:style w:type="paragraph" w:customStyle="1" w:styleId="Normalnumber">
    <w:name w:val="Normal_number"/>
    <w:basedOn w:val="Normal"/>
    <w:link w:val="NormalnumberChar"/>
    <w:rsid w:val="00F25E08"/>
    <w:pPr>
      <w:numPr>
        <w:numId w:val="3"/>
      </w:numPr>
      <w:spacing w:after="120"/>
    </w:pPr>
    <w:rPr>
      <w:rFonts w:ascii="Times New Roman" w:eastAsia="Times New Roman" w:hAnsi="Times New Roman" w:cs="Times New Roman"/>
      <w:sz w:val="20"/>
      <w:szCs w:val="20"/>
    </w:rPr>
  </w:style>
  <w:style w:type="character" w:customStyle="1" w:styleId="NormalnumberChar">
    <w:name w:val="Normal_number Char"/>
    <w:link w:val="Normalnumber"/>
    <w:locked/>
    <w:rsid w:val="00F25E08"/>
    <w:rPr>
      <w:rFonts w:ascii="Times New Roman" w:eastAsia="Times New Roman" w:hAnsi="Times New Roman" w:cs="Times New Roman"/>
      <w:sz w:val="20"/>
      <w:szCs w:val="20"/>
      <w:lang w:val="en-US"/>
    </w:rPr>
  </w:style>
  <w:style w:type="paragraph" w:customStyle="1" w:styleId="Level1">
    <w:name w:val="Level1"/>
    <w:basedOn w:val="Normal"/>
    <w:rsid w:val="001B6FFA"/>
    <w:pPr>
      <w:numPr>
        <w:numId w:val="4"/>
      </w:numPr>
      <w:tabs>
        <w:tab w:val="left" w:pos="1157"/>
      </w:tabs>
      <w:suppressAutoHyphens/>
      <w:spacing w:after="240"/>
    </w:pPr>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591">
      <w:bodyDiv w:val="1"/>
      <w:marLeft w:val="0"/>
      <w:marRight w:val="0"/>
      <w:marTop w:val="0"/>
      <w:marBottom w:val="0"/>
      <w:divBdr>
        <w:top w:val="none" w:sz="0" w:space="0" w:color="auto"/>
        <w:left w:val="none" w:sz="0" w:space="0" w:color="auto"/>
        <w:bottom w:val="none" w:sz="0" w:space="0" w:color="auto"/>
        <w:right w:val="none" w:sz="0" w:space="0" w:color="auto"/>
      </w:divBdr>
    </w:div>
    <w:div w:id="133446650">
      <w:bodyDiv w:val="1"/>
      <w:marLeft w:val="0"/>
      <w:marRight w:val="0"/>
      <w:marTop w:val="0"/>
      <w:marBottom w:val="0"/>
      <w:divBdr>
        <w:top w:val="none" w:sz="0" w:space="0" w:color="auto"/>
        <w:left w:val="none" w:sz="0" w:space="0" w:color="auto"/>
        <w:bottom w:val="none" w:sz="0" w:space="0" w:color="auto"/>
        <w:right w:val="none" w:sz="0" w:space="0" w:color="auto"/>
      </w:divBdr>
    </w:div>
    <w:div w:id="146438624">
      <w:bodyDiv w:val="1"/>
      <w:marLeft w:val="0"/>
      <w:marRight w:val="0"/>
      <w:marTop w:val="0"/>
      <w:marBottom w:val="0"/>
      <w:divBdr>
        <w:top w:val="none" w:sz="0" w:space="0" w:color="auto"/>
        <w:left w:val="none" w:sz="0" w:space="0" w:color="auto"/>
        <w:bottom w:val="none" w:sz="0" w:space="0" w:color="auto"/>
        <w:right w:val="none" w:sz="0" w:space="0" w:color="auto"/>
      </w:divBdr>
    </w:div>
    <w:div w:id="206914866">
      <w:bodyDiv w:val="1"/>
      <w:marLeft w:val="0"/>
      <w:marRight w:val="0"/>
      <w:marTop w:val="0"/>
      <w:marBottom w:val="0"/>
      <w:divBdr>
        <w:top w:val="none" w:sz="0" w:space="0" w:color="auto"/>
        <w:left w:val="none" w:sz="0" w:space="0" w:color="auto"/>
        <w:bottom w:val="none" w:sz="0" w:space="0" w:color="auto"/>
        <w:right w:val="none" w:sz="0" w:space="0" w:color="auto"/>
      </w:divBdr>
    </w:div>
    <w:div w:id="533078219">
      <w:bodyDiv w:val="1"/>
      <w:marLeft w:val="0"/>
      <w:marRight w:val="0"/>
      <w:marTop w:val="0"/>
      <w:marBottom w:val="0"/>
      <w:divBdr>
        <w:top w:val="none" w:sz="0" w:space="0" w:color="auto"/>
        <w:left w:val="none" w:sz="0" w:space="0" w:color="auto"/>
        <w:bottom w:val="none" w:sz="0" w:space="0" w:color="auto"/>
        <w:right w:val="none" w:sz="0" w:space="0" w:color="auto"/>
      </w:divBdr>
    </w:div>
    <w:div w:id="963468321">
      <w:bodyDiv w:val="1"/>
      <w:marLeft w:val="0"/>
      <w:marRight w:val="0"/>
      <w:marTop w:val="0"/>
      <w:marBottom w:val="0"/>
      <w:divBdr>
        <w:top w:val="none" w:sz="0" w:space="0" w:color="auto"/>
        <w:left w:val="none" w:sz="0" w:space="0" w:color="auto"/>
        <w:bottom w:val="none" w:sz="0" w:space="0" w:color="auto"/>
        <w:right w:val="none" w:sz="0" w:space="0" w:color="auto"/>
      </w:divBdr>
    </w:div>
    <w:div w:id="1143691456">
      <w:bodyDiv w:val="1"/>
      <w:marLeft w:val="0"/>
      <w:marRight w:val="0"/>
      <w:marTop w:val="0"/>
      <w:marBottom w:val="0"/>
      <w:divBdr>
        <w:top w:val="none" w:sz="0" w:space="0" w:color="auto"/>
        <w:left w:val="none" w:sz="0" w:space="0" w:color="auto"/>
        <w:bottom w:val="none" w:sz="0" w:space="0" w:color="auto"/>
        <w:right w:val="none" w:sz="0" w:space="0" w:color="auto"/>
      </w:divBdr>
    </w:div>
    <w:div w:id="1182553236">
      <w:bodyDiv w:val="1"/>
      <w:marLeft w:val="0"/>
      <w:marRight w:val="0"/>
      <w:marTop w:val="0"/>
      <w:marBottom w:val="0"/>
      <w:divBdr>
        <w:top w:val="none" w:sz="0" w:space="0" w:color="auto"/>
        <w:left w:val="none" w:sz="0" w:space="0" w:color="auto"/>
        <w:bottom w:val="none" w:sz="0" w:space="0" w:color="auto"/>
        <w:right w:val="none" w:sz="0" w:space="0" w:color="auto"/>
      </w:divBdr>
    </w:div>
    <w:div w:id="1942108764">
      <w:bodyDiv w:val="1"/>
      <w:marLeft w:val="0"/>
      <w:marRight w:val="0"/>
      <w:marTop w:val="0"/>
      <w:marBottom w:val="0"/>
      <w:divBdr>
        <w:top w:val="none" w:sz="0" w:space="0" w:color="auto"/>
        <w:left w:val="none" w:sz="0" w:space="0" w:color="auto"/>
        <w:bottom w:val="none" w:sz="0" w:space="0" w:color="auto"/>
        <w:right w:val="none" w:sz="0" w:space="0" w:color="auto"/>
      </w:divBdr>
    </w:div>
    <w:div w:id="1945842491">
      <w:bodyDiv w:val="1"/>
      <w:marLeft w:val="0"/>
      <w:marRight w:val="0"/>
      <w:marTop w:val="0"/>
      <w:marBottom w:val="0"/>
      <w:divBdr>
        <w:top w:val="none" w:sz="0" w:space="0" w:color="auto"/>
        <w:left w:val="none" w:sz="0" w:space="0" w:color="auto"/>
        <w:bottom w:val="none" w:sz="0" w:space="0" w:color="auto"/>
        <w:right w:val="none" w:sz="0" w:space="0" w:color="auto"/>
      </w:divBdr>
    </w:div>
    <w:div w:id="20248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18AD4E2FA43E4B5EF977414458718"/>
        <w:category>
          <w:name w:val="General"/>
          <w:gallery w:val="placeholder"/>
        </w:category>
        <w:types>
          <w:type w:val="bbPlcHdr"/>
        </w:types>
        <w:behaviors>
          <w:behavior w:val="content"/>
        </w:behaviors>
        <w:guid w:val="{CF342896-1DDC-43F7-8CC4-C8B1976812D0}"/>
      </w:docPartPr>
      <w:docPartBody>
        <w:p w:rsidR="000D1D0F" w:rsidRDefault="00FE3CBF" w:rsidP="00FE3CBF">
          <w:pPr>
            <w:pStyle w:val="A9118AD4E2FA43E4B5EF977414458718"/>
          </w:pPr>
          <w:r w:rsidRPr="003751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Regular">
    <w:altName w:val="Times New Roman"/>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illSans 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BF"/>
    <w:rsid w:val="000D1D0F"/>
    <w:rsid w:val="00D90F7F"/>
    <w:rsid w:val="00FE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CBF"/>
    <w:rPr>
      <w:color w:val="808080"/>
    </w:rPr>
  </w:style>
  <w:style w:type="paragraph" w:customStyle="1" w:styleId="A9118AD4E2FA43E4B5EF977414458718">
    <w:name w:val="A9118AD4E2FA43E4B5EF977414458718"/>
    <w:rsid w:val="00FE3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C3628-686D-4F5D-9853-6F719A31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candredelaporte</dc:creator>
  <cp:lastModifiedBy>Clara Schmidt</cp:lastModifiedBy>
  <cp:revision>7</cp:revision>
  <cp:lastPrinted>2015-12-11T15:27:00Z</cp:lastPrinted>
  <dcterms:created xsi:type="dcterms:W3CDTF">2020-01-10T09:39:00Z</dcterms:created>
  <dcterms:modified xsi:type="dcterms:W3CDTF">2020-03-05T14:22:00Z</dcterms:modified>
</cp:coreProperties>
</file>