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C32" w:rsidRPr="00851B6C" w:rsidRDefault="00CD4C32" w:rsidP="00CD4C32">
      <w:pPr>
        <w:spacing w:after="120"/>
        <w:ind w:left="1247"/>
        <w:rPr>
          <w:b/>
          <w:sz w:val="28"/>
          <w:szCs w:val="28"/>
        </w:rPr>
      </w:pPr>
      <w:r w:rsidRPr="00851B6C">
        <w:rPr>
          <w:b/>
          <w:sz w:val="28"/>
          <w:szCs w:val="28"/>
        </w:rPr>
        <w:t>SC-7/16: Technical assistance</w:t>
      </w:r>
    </w:p>
    <w:p w:rsidR="00CD4C32" w:rsidRPr="00851B6C" w:rsidRDefault="00CD4C32" w:rsidP="00CD4C32">
      <w:pPr>
        <w:tabs>
          <w:tab w:val="left" w:pos="624"/>
          <w:tab w:val="left" w:pos="2410"/>
        </w:tabs>
        <w:autoSpaceDE w:val="0"/>
        <w:autoSpaceDN w:val="0"/>
        <w:adjustRightInd w:val="0"/>
        <w:snapToGrid w:val="0"/>
        <w:spacing w:after="120"/>
        <w:ind w:left="1247" w:firstLine="624"/>
        <w:rPr>
          <w:i/>
          <w:sz w:val="20"/>
          <w:szCs w:val="24"/>
          <w:lang w:val="en-US"/>
        </w:rPr>
      </w:pPr>
      <w:r w:rsidRPr="00851B6C">
        <w:rPr>
          <w:i/>
          <w:sz w:val="20"/>
          <w:szCs w:val="24"/>
          <w:lang w:val="en-US"/>
        </w:rPr>
        <w:t>The Conference of the Parties</w:t>
      </w:r>
    </w:p>
    <w:p w:rsidR="00CD4C32" w:rsidRPr="00851B6C" w:rsidRDefault="00CD4C32" w:rsidP="00CD4C32">
      <w:pPr>
        <w:numPr>
          <w:ilvl w:val="0"/>
          <w:numId w:val="3"/>
        </w:numPr>
        <w:tabs>
          <w:tab w:val="left" w:pos="624"/>
        </w:tabs>
        <w:autoSpaceDE w:val="0"/>
        <w:autoSpaceDN w:val="0"/>
        <w:adjustRightInd w:val="0"/>
        <w:spacing w:after="120"/>
        <w:ind w:left="1247" w:firstLine="624"/>
        <w:rPr>
          <w:iCs/>
          <w:color w:val="000000"/>
          <w:sz w:val="20"/>
          <w:szCs w:val="24"/>
        </w:rPr>
      </w:pPr>
      <w:r w:rsidRPr="00851B6C">
        <w:rPr>
          <w:i/>
          <w:iCs/>
          <w:color w:val="000000"/>
          <w:sz w:val="20"/>
          <w:szCs w:val="24"/>
        </w:rPr>
        <w:t>Takes note</w:t>
      </w:r>
      <w:r w:rsidRPr="00851B6C">
        <w:rPr>
          <w:iCs/>
          <w:color w:val="000000"/>
          <w:sz w:val="20"/>
          <w:szCs w:val="24"/>
        </w:rPr>
        <w:t xml:space="preserve"> of the information provided by the Secretariat on technical assistance</w:t>
      </w:r>
      <w:r>
        <w:rPr>
          <w:iCs/>
          <w:color w:val="000000"/>
          <w:sz w:val="20"/>
          <w:szCs w:val="24"/>
        </w:rPr>
        <w:t xml:space="preserve"> </w:t>
      </w:r>
      <w:r w:rsidRPr="00851B6C">
        <w:rPr>
          <w:iCs/>
          <w:color w:val="000000"/>
          <w:sz w:val="20"/>
          <w:szCs w:val="24"/>
        </w:rPr>
        <w:t xml:space="preserve">for the implementation of the </w:t>
      </w:r>
      <w:r>
        <w:rPr>
          <w:iCs/>
          <w:color w:val="000000"/>
          <w:sz w:val="20"/>
          <w:szCs w:val="24"/>
        </w:rPr>
        <w:t>Convention</w:t>
      </w:r>
      <w:r w:rsidRPr="00851B6C">
        <w:rPr>
          <w:iCs/>
          <w:color w:val="000000"/>
          <w:sz w:val="20"/>
          <w:szCs w:val="24"/>
        </w:rPr>
        <w:t>;</w:t>
      </w:r>
      <w:r w:rsidRPr="00851B6C">
        <w:rPr>
          <w:iCs/>
          <w:sz w:val="20"/>
          <w:szCs w:val="24"/>
          <w:vertAlign w:val="superscript"/>
        </w:rPr>
        <w:footnoteReference w:id="1"/>
      </w:r>
    </w:p>
    <w:p w:rsidR="00CD4C32" w:rsidRPr="00851B6C" w:rsidRDefault="00CD4C32" w:rsidP="00CD4C32">
      <w:pPr>
        <w:numPr>
          <w:ilvl w:val="0"/>
          <w:numId w:val="3"/>
        </w:numPr>
        <w:tabs>
          <w:tab w:val="left" w:pos="624"/>
        </w:tabs>
        <w:autoSpaceDE w:val="0"/>
        <w:autoSpaceDN w:val="0"/>
        <w:adjustRightInd w:val="0"/>
        <w:spacing w:after="120"/>
        <w:ind w:left="1247" w:firstLine="624"/>
        <w:rPr>
          <w:iCs/>
          <w:color w:val="000000"/>
          <w:sz w:val="20"/>
          <w:szCs w:val="24"/>
        </w:rPr>
      </w:pPr>
      <w:r w:rsidRPr="00851B6C">
        <w:rPr>
          <w:i/>
          <w:iCs/>
          <w:color w:val="000000"/>
          <w:sz w:val="20"/>
          <w:szCs w:val="24"/>
        </w:rPr>
        <w:t>Welcomes</w:t>
      </w:r>
      <w:r w:rsidRPr="00851B6C">
        <w:rPr>
          <w:iCs/>
          <w:color w:val="000000"/>
          <w:sz w:val="20"/>
          <w:szCs w:val="24"/>
        </w:rPr>
        <w:t xml:space="preserve"> the development of a database for the collection of information pertaining to the needs of parties for the implementation of the Convention, as well as information on available assistance;</w:t>
      </w:r>
    </w:p>
    <w:p w:rsidR="00CD4C32" w:rsidRPr="00851B6C" w:rsidRDefault="00CD4C32" w:rsidP="00CD4C32">
      <w:pPr>
        <w:numPr>
          <w:ilvl w:val="0"/>
          <w:numId w:val="3"/>
        </w:numPr>
        <w:tabs>
          <w:tab w:val="left" w:pos="624"/>
        </w:tabs>
        <w:autoSpaceDE w:val="0"/>
        <w:autoSpaceDN w:val="0"/>
        <w:adjustRightInd w:val="0"/>
        <w:spacing w:after="120"/>
        <w:ind w:left="1247" w:firstLine="624"/>
        <w:rPr>
          <w:i/>
          <w:iCs/>
          <w:color w:val="000000"/>
          <w:sz w:val="20"/>
          <w:szCs w:val="24"/>
        </w:rPr>
      </w:pPr>
      <w:r w:rsidRPr="00851B6C">
        <w:rPr>
          <w:i/>
          <w:iCs/>
          <w:color w:val="000000"/>
          <w:sz w:val="20"/>
          <w:szCs w:val="24"/>
        </w:rPr>
        <w:t xml:space="preserve">Invites </w:t>
      </w:r>
      <w:r w:rsidRPr="00851B6C">
        <w:rPr>
          <w:iCs/>
          <w:color w:val="000000"/>
          <w:sz w:val="20"/>
          <w:szCs w:val="24"/>
        </w:rPr>
        <w:t>developing-country parties and parties with economies in transition to provide information to the Secretariat on their needs in terms of technical assistance and technology transfer, according to the provisions of the Convention, their difficulties in implementing the Convention and any other views in th</w:t>
      </w:r>
      <w:r>
        <w:rPr>
          <w:iCs/>
          <w:color w:val="000000"/>
          <w:sz w:val="20"/>
          <w:szCs w:val="24"/>
        </w:rPr>
        <w:t>is</w:t>
      </w:r>
      <w:r w:rsidRPr="00851B6C">
        <w:rPr>
          <w:iCs/>
          <w:color w:val="000000"/>
          <w:sz w:val="20"/>
          <w:szCs w:val="24"/>
        </w:rPr>
        <w:t xml:space="preserve"> regard;</w:t>
      </w:r>
    </w:p>
    <w:p w:rsidR="00CD4C32" w:rsidRPr="00851B6C" w:rsidRDefault="00CD4C32" w:rsidP="00CD4C32">
      <w:pPr>
        <w:numPr>
          <w:ilvl w:val="0"/>
          <w:numId w:val="3"/>
        </w:numPr>
        <w:tabs>
          <w:tab w:val="left" w:pos="624"/>
        </w:tabs>
        <w:autoSpaceDE w:val="0"/>
        <w:autoSpaceDN w:val="0"/>
        <w:adjustRightInd w:val="0"/>
        <w:spacing w:after="120"/>
        <w:ind w:left="1247" w:firstLine="624"/>
        <w:rPr>
          <w:iCs/>
          <w:color w:val="000000"/>
          <w:sz w:val="20"/>
          <w:szCs w:val="24"/>
        </w:rPr>
      </w:pPr>
      <w:r w:rsidRPr="00851B6C">
        <w:rPr>
          <w:i/>
          <w:iCs/>
          <w:color w:val="000000"/>
          <w:sz w:val="20"/>
          <w:szCs w:val="24"/>
        </w:rPr>
        <w:t xml:space="preserve">Invites </w:t>
      </w:r>
      <w:r w:rsidRPr="00851B6C">
        <w:rPr>
          <w:iCs/>
          <w:color w:val="000000"/>
          <w:sz w:val="20"/>
          <w:szCs w:val="24"/>
        </w:rPr>
        <w:t xml:space="preserve">developed-country parties and others with the capacity to do so to continue to provide information to the Secretariat, according to the provisions of the Convention, on the technical assistance and technology that they have available to be transferred to developing-country parties and parties with economies in transition; </w:t>
      </w:r>
    </w:p>
    <w:p w:rsidR="00CD4C32" w:rsidRPr="00851B6C" w:rsidRDefault="00CD4C32" w:rsidP="00CD4C32">
      <w:pPr>
        <w:numPr>
          <w:ilvl w:val="0"/>
          <w:numId w:val="3"/>
        </w:numPr>
        <w:tabs>
          <w:tab w:val="left" w:pos="624"/>
        </w:tabs>
        <w:autoSpaceDE w:val="0"/>
        <w:autoSpaceDN w:val="0"/>
        <w:adjustRightInd w:val="0"/>
        <w:spacing w:after="120"/>
        <w:ind w:left="1247" w:firstLine="624"/>
        <w:rPr>
          <w:iCs/>
          <w:color w:val="000000"/>
          <w:sz w:val="20"/>
          <w:szCs w:val="24"/>
        </w:rPr>
      </w:pPr>
      <w:r w:rsidRPr="00851B6C">
        <w:rPr>
          <w:i/>
          <w:iCs/>
          <w:color w:val="000000"/>
          <w:sz w:val="20"/>
          <w:szCs w:val="24"/>
        </w:rPr>
        <w:t xml:space="preserve">Requests </w:t>
      </w:r>
      <w:r w:rsidRPr="00851B6C">
        <w:rPr>
          <w:iCs/>
          <w:color w:val="000000"/>
          <w:sz w:val="20"/>
          <w:szCs w:val="24"/>
        </w:rPr>
        <w:t>the Secretariat to continue to collect the information pursuant to paragraphs 3 and 4 above</w:t>
      </w:r>
      <w:r>
        <w:rPr>
          <w:iCs/>
          <w:color w:val="000000"/>
          <w:sz w:val="20"/>
          <w:szCs w:val="24"/>
        </w:rPr>
        <w:t>,</w:t>
      </w:r>
      <w:r w:rsidRPr="00851B6C">
        <w:rPr>
          <w:iCs/>
          <w:color w:val="000000"/>
          <w:sz w:val="20"/>
          <w:szCs w:val="24"/>
        </w:rPr>
        <w:t xml:space="preserve"> through tailored electronic questionnaires, making full use of the database for the collection of the needs of parties in implementing their obligations under the Convention, </w:t>
      </w:r>
      <w:r>
        <w:rPr>
          <w:iCs/>
          <w:color w:val="000000"/>
          <w:sz w:val="20"/>
          <w:szCs w:val="24"/>
        </w:rPr>
        <w:t xml:space="preserve">and also requests the Secretariat </w:t>
      </w:r>
      <w:r w:rsidRPr="00851B6C">
        <w:rPr>
          <w:iCs/>
          <w:color w:val="000000"/>
          <w:sz w:val="20"/>
          <w:szCs w:val="24"/>
        </w:rPr>
        <w:t>to analyse such information</w:t>
      </w:r>
      <w:r>
        <w:rPr>
          <w:iCs/>
          <w:color w:val="000000"/>
          <w:sz w:val="20"/>
          <w:szCs w:val="24"/>
        </w:rPr>
        <w:t xml:space="preserve"> and</w:t>
      </w:r>
      <w:r w:rsidRPr="00851B6C">
        <w:rPr>
          <w:iCs/>
          <w:color w:val="000000"/>
          <w:sz w:val="20"/>
          <w:szCs w:val="24"/>
        </w:rPr>
        <w:t xml:space="preserve"> to identify </w:t>
      </w:r>
      <w:r>
        <w:rPr>
          <w:iCs/>
          <w:color w:val="000000"/>
          <w:sz w:val="20"/>
          <w:szCs w:val="24"/>
        </w:rPr>
        <w:t xml:space="preserve">the </w:t>
      </w:r>
      <w:r w:rsidRPr="00851B6C">
        <w:rPr>
          <w:iCs/>
          <w:color w:val="000000"/>
          <w:sz w:val="20"/>
          <w:szCs w:val="24"/>
        </w:rPr>
        <w:t xml:space="preserve">gaps and barriers </w:t>
      </w:r>
      <w:r>
        <w:rPr>
          <w:iCs/>
          <w:color w:val="000000"/>
          <w:sz w:val="20"/>
          <w:szCs w:val="24"/>
        </w:rPr>
        <w:t xml:space="preserve">regarding </w:t>
      </w:r>
      <w:r w:rsidRPr="00851B6C">
        <w:rPr>
          <w:iCs/>
          <w:color w:val="000000"/>
          <w:sz w:val="20"/>
          <w:szCs w:val="24"/>
        </w:rPr>
        <w:t>technical assistance and technology transfer and to propose recommendations and take action to address those problems;</w:t>
      </w:r>
      <w:r>
        <w:rPr>
          <w:iCs/>
          <w:color w:val="000000"/>
          <w:sz w:val="20"/>
          <w:szCs w:val="24"/>
        </w:rPr>
        <w:t xml:space="preserve"> </w:t>
      </w:r>
    </w:p>
    <w:p w:rsidR="00CD4C32" w:rsidRPr="00851B6C" w:rsidRDefault="00CD4C32" w:rsidP="00CD4C32">
      <w:pPr>
        <w:numPr>
          <w:ilvl w:val="0"/>
          <w:numId w:val="3"/>
        </w:numPr>
        <w:tabs>
          <w:tab w:val="left" w:pos="624"/>
        </w:tabs>
        <w:autoSpaceDE w:val="0"/>
        <w:autoSpaceDN w:val="0"/>
        <w:adjustRightInd w:val="0"/>
        <w:spacing w:after="120"/>
        <w:ind w:left="1247" w:firstLine="624"/>
        <w:rPr>
          <w:iCs/>
          <w:color w:val="000000"/>
          <w:sz w:val="20"/>
          <w:szCs w:val="24"/>
        </w:rPr>
      </w:pPr>
      <w:r w:rsidRPr="00851B6C">
        <w:rPr>
          <w:i/>
          <w:iCs/>
          <w:color w:val="000000"/>
          <w:sz w:val="20"/>
          <w:szCs w:val="24"/>
        </w:rPr>
        <w:t>Welcomes</w:t>
      </w:r>
      <w:r w:rsidRPr="00851B6C">
        <w:rPr>
          <w:iCs/>
          <w:color w:val="000000"/>
          <w:sz w:val="20"/>
          <w:szCs w:val="24"/>
        </w:rPr>
        <w:t xml:space="preserve"> the technical assistance programme</w:t>
      </w:r>
      <w:r w:rsidRPr="00851B6C">
        <w:rPr>
          <w:iCs/>
          <w:color w:val="000000"/>
          <w:sz w:val="20"/>
          <w:szCs w:val="24"/>
          <w:vertAlign w:val="superscript"/>
        </w:rPr>
        <w:footnoteReference w:id="2"/>
      </w:r>
      <w:r w:rsidRPr="00851B6C">
        <w:rPr>
          <w:iCs/>
          <w:color w:val="000000"/>
          <w:sz w:val="20"/>
          <w:szCs w:val="24"/>
        </w:rPr>
        <w:t xml:space="preserve"> and requests the Secretariat,</w:t>
      </w:r>
      <w:r w:rsidRPr="00851B6C">
        <w:rPr>
          <w:sz w:val="22"/>
          <w:szCs w:val="24"/>
        </w:rPr>
        <w:t xml:space="preserve"> </w:t>
      </w:r>
      <w:r w:rsidRPr="00851B6C">
        <w:rPr>
          <w:iCs/>
          <w:color w:val="000000"/>
          <w:sz w:val="20"/>
          <w:szCs w:val="24"/>
        </w:rPr>
        <w:t>subject to the availability of resources, to implement it in cooperation with relevant actors and to take into account the elements contained therein when carrying out its work to facilitate the delivery of technical assistance and capacity-building for the implementation of the Basel</w:t>
      </w:r>
      <w:r>
        <w:rPr>
          <w:iCs/>
          <w:color w:val="000000"/>
          <w:sz w:val="20"/>
          <w:szCs w:val="24"/>
        </w:rPr>
        <w:t xml:space="preserve"> Convention</w:t>
      </w:r>
      <w:r w:rsidRPr="00851B6C">
        <w:rPr>
          <w:iCs/>
          <w:color w:val="000000"/>
          <w:sz w:val="20"/>
          <w:szCs w:val="24"/>
        </w:rPr>
        <w:t xml:space="preserve">, </w:t>
      </w:r>
      <w:r>
        <w:rPr>
          <w:iCs/>
          <w:color w:val="000000"/>
          <w:sz w:val="20"/>
          <w:szCs w:val="24"/>
        </w:rPr>
        <w:t xml:space="preserve">the Rotterdam Convention on the Prior Informed Consent Procedure for Certain Hazardous Chemicals and Pesticides in International Trade </w:t>
      </w:r>
      <w:r w:rsidRPr="00851B6C">
        <w:rPr>
          <w:iCs/>
          <w:color w:val="000000"/>
          <w:sz w:val="20"/>
          <w:szCs w:val="24"/>
        </w:rPr>
        <w:t xml:space="preserve">and </w:t>
      </w:r>
      <w:r>
        <w:rPr>
          <w:iCs/>
          <w:color w:val="000000"/>
          <w:sz w:val="20"/>
          <w:szCs w:val="24"/>
        </w:rPr>
        <w:t>the Stockholm Convention on Persistent Organic Pollutants</w:t>
      </w:r>
      <w:r w:rsidRPr="00851B6C">
        <w:rPr>
          <w:iCs/>
          <w:color w:val="000000"/>
          <w:sz w:val="20"/>
          <w:szCs w:val="24"/>
        </w:rPr>
        <w:t xml:space="preserve">, and urges parties and others in a position to do so to provide funding and other resources to support the implementation of the activities </w:t>
      </w:r>
      <w:r>
        <w:rPr>
          <w:iCs/>
          <w:color w:val="000000"/>
          <w:sz w:val="20"/>
          <w:szCs w:val="24"/>
        </w:rPr>
        <w:t>contained</w:t>
      </w:r>
      <w:r w:rsidRPr="00851B6C">
        <w:rPr>
          <w:iCs/>
          <w:color w:val="000000"/>
          <w:sz w:val="20"/>
          <w:szCs w:val="24"/>
        </w:rPr>
        <w:t xml:space="preserve"> in the technical assistance programme;</w:t>
      </w:r>
    </w:p>
    <w:p w:rsidR="00CD4C32" w:rsidRPr="00851B6C" w:rsidRDefault="00CD4C32" w:rsidP="00CD4C32">
      <w:pPr>
        <w:numPr>
          <w:ilvl w:val="0"/>
          <w:numId w:val="3"/>
        </w:numPr>
        <w:tabs>
          <w:tab w:val="left" w:pos="624"/>
        </w:tabs>
        <w:autoSpaceDE w:val="0"/>
        <w:autoSpaceDN w:val="0"/>
        <w:adjustRightInd w:val="0"/>
        <w:spacing w:after="120"/>
        <w:ind w:left="1247" w:firstLine="624"/>
        <w:rPr>
          <w:iCs/>
          <w:color w:val="000000"/>
          <w:sz w:val="20"/>
        </w:rPr>
      </w:pPr>
      <w:r w:rsidRPr="00851B6C">
        <w:rPr>
          <w:i/>
          <w:iCs/>
          <w:color w:val="000000"/>
          <w:sz w:val="20"/>
          <w:szCs w:val="24"/>
        </w:rPr>
        <w:t>Requests</w:t>
      </w:r>
      <w:r w:rsidRPr="00851B6C">
        <w:rPr>
          <w:iCs/>
          <w:color w:val="000000"/>
          <w:sz w:val="20"/>
          <w:szCs w:val="24"/>
        </w:rPr>
        <w:t xml:space="preserve"> the Secretariat, when implementing the technical assistance programme referred to in paragraph 6 above, to take into account the specific needs for technical assistance expressed by developing country parties and parties with economies in transition resulting from</w:t>
      </w:r>
      <w:r w:rsidRPr="00851B6C">
        <w:rPr>
          <w:iCs/>
          <w:color w:val="000000"/>
          <w:sz w:val="20"/>
        </w:rPr>
        <w:t xml:space="preserve"> the </w:t>
      </w:r>
      <w:r w:rsidRPr="00851B6C">
        <w:rPr>
          <w:iCs/>
          <w:color w:val="000000"/>
          <w:sz w:val="20"/>
          <w:szCs w:val="24"/>
        </w:rPr>
        <w:t>listing</w:t>
      </w:r>
      <w:r w:rsidRPr="00851B6C">
        <w:rPr>
          <w:iCs/>
          <w:color w:val="000000"/>
          <w:sz w:val="20"/>
        </w:rPr>
        <w:t xml:space="preserve"> of new chemicals in Annex</w:t>
      </w:r>
      <w:r>
        <w:rPr>
          <w:iCs/>
          <w:color w:val="000000"/>
          <w:sz w:val="20"/>
        </w:rPr>
        <w:t>es</w:t>
      </w:r>
      <w:r w:rsidRPr="00851B6C">
        <w:rPr>
          <w:iCs/>
          <w:color w:val="000000"/>
          <w:sz w:val="20"/>
        </w:rPr>
        <w:t xml:space="preserve"> A, B and/or C to the Convention</w:t>
      </w:r>
      <w:r w:rsidRPr="00851B6C">
        <w:rPr>
          <w:iCs/>
          <w:color w:val="000000"/>
          <w:sz w:val="20"/>
          <w:szCs w:val="24"/>
        </w:rPr>
        <w:t xml:space="preserve">, in particular in the areas of the development of inventories, the monitoring of persistent organic pollutants in the environment and access to information on the availability of </w:t>
      </w:r>
      <w:r w:rsidRPr="00851B6C">
        <w:rPr>
          <w:iCs/>
          <w:color w:val="000000"/>
          <w:sz w:val="20"/>
        </w:rPr>
        <w:t>technologies for controlling new chemicals in Annex C and their cost;</w:t>
      </w:r>
    </w:p>
    <w:p w:rsidR="00CD4C32" w:rsidRPr="00851B6C" w:rsidRDefault="00CD4C32" w:rsidP="00CD4C32">
      <w:pPr>
        <w:numPr>
          <w:ilvl w:val="0"/>
          <w:numId w:val="3"/>
        </w:numPr>
        <w:tabs>
          <w:tab w:val="left" w:pos="624"/>
        </w:tabs>
        <w:autoSpaceDE w:val="0"/>
        <w:autoSpaceDN w:val="0"/>
        <w:adjustRightInd w:val="0"/>
        <w:spacing w:after="120"/>
        <w:ind w:left="1247" w:firstLine="624"/>
        <w:rPr>
          <w:iCs/>
          <w:color w:val="000000"/>
          <w:sz w:val="20"/>
          <w:szCs w:val="24"/>
        </w:rPr>
      </w:pPr>
      <w:r w:rsidRPr="00D95B72">
        <w:rPr>
          <w:i/>
          <w:iCs/>
          <w:color w:val="000000"/>
          <w:sz w:val="20"/>
          <w:szCs w:val="24"/>
        </w:rPr>
        <w:t>Authorizes</w:t>
      </w:r>
      <w:r w:rsidRPr="00D95B72">
        <w:rPr>
          <w:iCs/>
          <w:color w:val="000000"/>
          <w:sz w:val="20"/>
          <w:szCs w:val="24"/>
        </w:rPr>
        <w:t xml:space="preserve"> the Secretariat to contract independent financial audits of</w:t>
      </w:r>
      <w:r w:rsidRPr="00851B6C">
        <w:rPr>
          <w:iCs/>
          <w:color w:val="000000"/>
          <w:sz w:val="20"/>
          <w:szCs w:val="24"/>
        </w:rPr>
        <w:t xml:space="preserve"> capacity</w:t>
      </w:r>
      <w:r w:rsidRPr="00851B6C">
        <w:rPr>
          <w:iCs/>
          <w:color w:val="000000"/>
          <w:sz w:val="20"/>
          <w:szCs w:val="24"/>
        </w:rPr>
        <w:noBreakHyphen/>
      </w:r>
      <w:proofErr w:type="spellStart"/>
      <w:r w:rsidRPr="00851B6C">
        <w:rPr>
          <w:iCs/>
          <w:color w:val="000000"/>
          <w:sz w:val="20"/>
          <w:szCs w:val="24"/>
        </w:rPr>
        <w:t>building</w:t>
      </w:r>
      <w:proofErr w:type="spellEnd"/>
      <w:r w:rsidRPr="00851B6C">
        <w:rPr>
          <w:iCs/>
          <w:color w:val="000000"/>
          <w:sz w:val="20"/>
          <w:szCs w:val="24"/>
        </w:rPr>
        <w:t xml:space="preserve"> and technical assistance projects and other related activities undertaken at the regional and</w:t>
      </w:r>
      <w:r>
        <w:rPr>
          <w:iCs/>
          <w:color w:val="000000"/>
          <w:sz w:val="20"/>
          <w:szCs w:val="24"/>
        </w:rPr>
        <w:t xml:space="preserve">/or </w:t>
      </w:r>
      <w:r w:rsidRPr="00851B6C">
        <w:rPr>
          <w:iCs/>
          <w:color w:val="000000"/>
          <w:sz w:val="20"/>
          <w:szCs w:val="24"/>
        </w:rPr>
        <w:t>national level in the implementation of the conventions, subject to the availability of resources, in cases where such audits appear necessary;</w:t>
      </w:r>
      <w:r>
        <w:rPr>
          <w:iCs/>
          <w:color w:val="000000"/>
          <w:sz w:val="20"/>
          <w:szCs w:val="24"/>
        </w:rPr>
        <w:t xml:space="preserve"> </w:t>
      </w:r>
    </w:p>
    <w:p w:rsidR="00CD4C32" w:rsidRPr="00851B6C" w:rsidRDefault="00CD4C32" w:rsidP="00CD4C32">
      <w:pPr>
        <w:numPr>
          <w:ilvl w:val="0"/>
          <w:numId w:val="3"/>
        </w:numPr>
        <w:tabs>
          <w:tab w:val="left" w:pos="624"/>
        </w:tabs>
        <w:autoSpaceDE w:val="0"/>
        <w:autoSpaceDN w:val="0"/>
        <w:adjustRightInd w:val="0"/>
        <w:spacing w:after="120"/>
        <w:ind w:left="1247" w:firstLine="624"/>
        <w:rPr>
          <w:i/>
          <w:iCs/>
          <w:color w:val="000000"/>
          <w:sz w:val="20"/>
          <w:szCs w:val="24"/>
        </w:rPr>
      </w:pPr>
      <w:r w:rsidRPr="00851B6C">
        <w:rPr>
          <w:i/>
          <w:iCs/>
          <w:color w:val="000000"/>
          <w:sz w:val="20"/>
          <w:szCs w:val="24"/>
        </w:rPr>
        <w:t xml:space="preserve">Emphasizes </w:t>
      </w:r>
      <w:r w:rsidRPr="00851B6C">
        <w:rPr>
          <w:iCs/>
          <w:color w:val="000000"/>
          <w:sz w:val="20"/>
          <w:szCs w:val="24"/>
        </w:rPr>
        <w:t>the key role of the regional centres</w:t>
      </w:r>
      <w:r>
        <w:rPr>
          <w:iCs/>
          <w:color w:val="000000"/>
          <w:sz w:val="20"/>
          <w:szCs w:val="24"/>
        </w:rPr>
        <w:t>,</w:t>
      </w:r>
      <w:r w:rsidRPr="00851B6C">
        <w:rPr>
          <w:iCs/>
          <w:color w:val="000000"/>
          <w:sz w:val="20"/>
          <w:szCs w:val="24"/>
        </w:rPr>
        <w:t xml:space="preserve"> as </w:t>
      </w:r>
      <w:r>
        <w:rPr>
          <w:iCs/>
          <w:color w:val="000000"/>
          <w:sz w:val="20"/>
          <w:szCs w:val="24"/>
        </w:rPr>
        <w:t>contained</w:t>
      </w:r>
      <w:r w:rsidRPr="00191576">
        <w:rPr>
          <w:iCs/>
          <w:color w:val="000000"/>
          <w:sz w:val="20"/>
          <w:szCs w:val="24"/>
        </w:rPr>
        <w:t xml:space="preserve"> in the provisions of the Basel</w:t>
      </w:r>
      <w:r>
        <w:rPr>
          <w:iCs/>
          <w:color w:val="000000"/>
          <w:sz w:val="20"/>
          <w:szCs w:val="24"/>
        </w:rPr>
        <w:t xml:space="preserve"> Convention on the Control of </w:t>
      </w:r>
      <w:proofErr w:type="spellStart"/>
      <w:r>
        <w:rPr>
          <w:iCs/>
          <w:color w:val="000000"/>
          <w:sz w:val="20"/>
          <w:szCs w:val="24"/>
        </w:rPr>
        <w:t>Transboundary</w:t>
      </w:r>
      <w:proofErr w:type="spellEnd"/>
      <w:r>
        <w:rPr>
          <w:iCs/>
          <w:color w:val="000000"/>
          <w:sz w:val="20"/>
          <w:szCs w:val="24"/>
        </w:rPr>
        <w:t xml:space="preserve"> Movements of Hazardous Wastes and Their Disposal</w:t>
      </w:r>
      <w:r w:rsidRPr="00191576">
        <w:rPr>
          <w:iCs/>
          <w:color w:val="000000"/>
          <w:sz w:val="20"/>
          <w:szCs w:val="24"/>
        </w:rPr>
        <w:t xml:space="preserve"> and </w:t>
      </w:r>
      <w:r>
        <w:rPr>
          <w:iCs/>
          <w:color w:val="000000"/>
          <w:sz w:val="20"/>
          <w:szCs w:val="24"/>
        </w:rPr>
        <w:t xml:space="preserve">the </w:t>
      </w:r>
      <w:r w:rsidRPr="00191576">
        <w:rPr>
          <w:iCs/>
          <w:color w:val="000000"/>
          <w:sz w:val="20"/>
          <w:szCs w:val="24"/>
        </w:rPr>
        <w:t xml:space="preserve">Stockholm </w:t>
      </w:r>
      <w:r>
        <w:rPr>
          <w:iCs/>
          <w:color w:val="000000"/>
          <w:sz w:val="20"/>
          <w:szCs w:val="24"/>
        </w:rPr>
        <w:t>C</w:t>
      </w:r>
      <w:r w:rsidRPr="00191576">
        <w:rPr>
          <w:iCs/>
          <w:color w:val="000000"/>
          <w:sz w:val="20"/>
          <w:szCs w:val="24"/>
        </w:rPr>
        <w:t>onvention</w:t>
      </w:r>
      <w:r>
        <w:rPr>
          <w:iCs/>
          <w:color w:val="000000"/>
          <w:sz w:val="20"/>
          <w:szCs w:val="24"/>
        </w:rPr>
        <w:t xml:space="preserve"> on Persistent Organic Pollutants</w:t>
      </w:r>
      <w:r w:rsidRPr="00191576">
        <w:rPr>
          <w:iCs/>
          <w:color w:val="000000"/>
          <w:sz w:val="20"/>
          <w:szCs w:val="24"/>
        </w:rPr>
        <w:t>,</w:t>
      </w:r>
      <w:r w:rsidRPr="00851B6C">
        <w:rPr>
          <w:iCs/>
          <w:color w:val="000000"/>
          <w:sz w:val="20"/>
          <w:szCs w:val="24"/>
        </w:rPr>
        <w:t xml:space="preserve"> as well as the regional and </w:t>
      </w:r>
      <w:proofErr w:type="spellStart"/>
      <w:r w:rsidRPr="00851B6C">
        <w:rPr>
          <w:iCs/>
          <w:color w:val="000000"/>
          <w:sz w:val="20"/>
          <w:szCs w:val="24"/>
        </w:rPr>
        <w:t>subregional</w:t>
      </w:r>
      <w:proofErr w:type="spellEnd"/>
      <w:r w:rsidRPr="00851B6C">
        <w:rPr>
          <w:iCs/>
          <w:color w:val="000000"/>
          <w:sz w:val="20"/>
          <w:szCs w:val="24"/>
        </w:rPr>
        <w:t xml:space="preserve"> offices of the Food and Agriculture Organization of the United Nations</w:t>
      </w:r>
      <w:r>
        <w:rPr>
          <w:iCs/>
          <w:color w:val="000000"/>
          <w:sz w:val="20"/>
          <w:szCs w:val="24"/>
        </w:rPr>
        <w:t>,</w:t>
      </w:r>
      <w:r w:rsidRPr="00851B6C">
        <w:rPr>
          <w:iCs/>
          <w:color w:val="000000"/>
          <w:sz w:val="20"/>
          <w:szCs w:val="24"/>
        </w:rPr>
        <w:t xml:space="preserve"> in delivering technical assistance upon request at the regional level regarding the implementation of the technical assistance programme</w:t>
      </w:r>
      <w:r w:rsidRPr="00851B6C">
        <w:rPr>
          <w:i/>
          <w:iCs/>
          <w:color w:val="000000"/>
          <w:sz w:val="20"/>
          <w:szCs w:val="24"/>
        </w:rPr>
        <w:t xml:space="preserve"> </w:t>
      </w:r>
      <w:r w:rsidRPr="00851B6C">
        <w:rPr>
          <w:iCs/>
          <w:color w:val="000000"/>
          <w:sz w:val="20"/>
          <w:szCs w:val="24"/>
        </w:rPr>
        <w:t xml:space="preserve">and facilitating technology transfer to eligible parties; </w:t>
      </w:r>
    </w:p>
    <w:p w:rsidR="00CD4C32" w:rsidRPr="00851B6C" w:rsidRDefault="00CD4C32" w:rsidP="00CD4C32">
      <w:pPr>
        <w:keepNext/>
        <w:numPr>
          <w:ilvl w:val="0"/>
          <w:numId w:val="3"/>
        </w:numPr>
        <w:autoSpaceDE w:val="0"/>
        <w:autoSpaceDN w:val="0"/>
        <w:adjustRightInd w:val="0"/>
        <w:spacing w:after="120"/>
        <w:ind w:left="1247" w:firstLine="624"/>
        <w:rPr>
          <w:i/>
          <w:iCs/>
          <w:color w:val="000000"/>
          <w:sz w:val="20"/>
          <w:szCs w:val="24"/>
        </w:rPr>
      </w:pPr>
      <w:r w:rsidRPr="00851B6C">
        <w:rPr>
          <w:i/>
          <w:iCs/>
          <w:color w:val="000000"/>
          <w:sz w:val="20"/>
          <w:szCs w:val="24"/>
        </w:rPr>
        <w:lastRenderedPageBreak/>
        <w:t xml:space="preserve">Requests </w:t>
      </w:r>
      <w:r w:rsidRPr="00851B6C">
        <w:rPr>
          <w:color w:val="000000"/>
          <w:sz w:val="20"/>
          <w:szCs w:val="24"/>
        </w:rPr>
        <w:t xml:space="preserve">the </w:t>
      </w:r>
      <w:r w:rsidRPr="00851B6C">
        <w:rPr>
          <w:iCs/>
          <w:color w:val="000000"/>
          <w:sz w:val="20"/>
          <w:szCs w:val="24"/>
        </w:rPr>
        <w:t>Secretariat</w:t>
      </w:r>
      <w:r w:rsidRPr="00851B6C">
        <w:rPr>
          <w:color w:val="000000"/>
          <w:sz w:val="20"/>
          <w:szCs w:val="24"/>
        </w:rPr>
        <w:t>:</w:t>
      </w:r>
      <w:r w:rsidRPr="00851B6C">
        <w:rPr>
          <w:i/>
          <w:iCs/>
          <w:color w:val="000000"/>
          <w:sz w:val="20"/>
          <w:szCs w:val="24"/>
        </w:rPr>
        <w:t xml:space="preserve"> </w:t>
      </w:r>
    </w:p>
    <w:p w:rsidR="00CD4C32" w:rsidRPr="00851B6C" w:rsidRDefault="00CD4C32" w:rsidP="00CD4C32">
      <w:pPr>
        <w:numPr>
          <w:ilvl w:val="1"/>
          <w:numId w:val="2"/>
        </w:numPr>
        <w:autoSpaceDE w:val="0"/>
        <w:autoSpaceDN w:val="0"/>
        <w:adjustRightInd w:val="0"/>
        <w:spacing w:after="120"/>
        <w:ind w:firstLine="624"/>
        <w:rPr>
          <w:color w:val="000000"/>
          <w:sz w:val="20"/>
          <w:szCs w:val="24"/>
        </w:rPr>
      </w:pPr>
      <w:r w:rsidRPr="00851B6C">
        <w:rPr>
          <w:color w:val="000000"/>
          <w:sz w:val="20"/>
          <w:szCs w:val="24"/>
        </w:rPr>
        <w:t>To submit a report to the Conference of the Parties at its next meeting on progress made in providing technical assistance for capacity-building and the promotion of technology transfer to parties, taking into account the information collected pursuant to paragraphs 3 and 4 above;</w:t>
      </w:r>
    </w:p>
    <w:p w:rsidR="00CD4C32" w:rsidRPr="00851B6C" w:rsidRDefault="00CD4C32" w:rsidP="00CD4C32">
      <w:pPr>
        <w:numPr>
          <w:ilvl w:val="1"/>
          <w:numId w:val="2"/>
        </w:numPr>
        <w:autoSpaceDE w:val="0"/>
        <w:autoSpaceDN w:val="0"/>
        <w:adjustRightInd w:val="0"/>
        <w:spacing w:after="120"/>
        <w:ind w:firstLine="624"/>
        <w:rPr>
          <w:color w:val="000000"/>
          <w:sz w:val="20"/>
          <w:szCs w:val="24"/>
        </w:rPr>
      </w:pPr>
      <w:r w:rsidRPr="00851B6C">
        <w:rPr>
          <w:color w:val="000000"/>
          <w:sz w:val="20"/>
          <w:szCs w:val="24"/>
        </w:rPr>
        <w:t>To prepare a technical assistance programme for the biennium 2018–2019 based on the information collected pursuant to paragraphs 3 and 4 above, taking into account the synergies process as well as the evaluation of the technical assistance programme.</w:t>
      </w:r>
    </w:p>
    <w:p w:rsidR="00CD4C32" w:rsidRPr="00851B6C" w:rsidRDefault="00CD4C32" w:rsidP="00CD4C32">
      <w:pPr>
        <w:tabs>
          <w:tab w:val="left" w:pos="1247"/>
          <w:tab w:val="left" w:pos="1814"/>
          <w:tab w:val="left" w:pos="2381"/>
          <w:tab w:val="left" w:pos="2948"/>
          <w:tab w:val="left" w:pos="3515"/>
        </w:tabs>
        <w:rPr>
          <w:sz w:val="20"/>
          <w:szCs w:val="24"/>
        </w:rPr>
      </w:pPr>
    </w:p>
    <w:p w:rsidR="000B18ED" w:rsidRDefault="000B18ED" w:rsidP="00CD4C32"/>
    <w:sectPr w:rsidR="000B18ED" w:rsidSect="000B18E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5A8" w:rsidRDefault="008975A8" w:rsidP="00CD4C32">
      <w:r>
        <w:separator/>
      </w:r>
    </w:p>
  </w:endnote>
  <w:endnote w:type="continuationSeparator" w:id="0">
    <w:p w:rsidR="008975A8" w:rsidRDefault="008975A8" w:rsidP="00CD4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5A8" w:rsidRDefault="008975A8" w:rsidP="00CD4C32">
      <w:r>
        <w:separator/>
      </w:r>
    </w:p>
  </w:footnote>
  <w:footnote w:type="continuationSeparator" w:id="0">
    <w:p w:rsidR="008975A8" w:rsidRDefault="008975A8" w:rsidP="00CD4C32">
      <w:r>
        <w:continuationSeparator/>
      </w:r>
    </w:p>
  </w:footnote>
  <w:footnote w:id="1">
    <w:p w:rsidR="00CD4C32" w:rsidRPr="00A40600" w:rsidRDefault="00CD4C32" w:rsidP="00CD4C32">
      <w:pPr>
        <w:pStyle w:val="FootnoteText"/>
        <w:rPr>
          <w:szCs w:val="18"/>
          <w:lang w:val="en-GB"/>
        </w:rPr>
      </w:pPr>
      <w:r w:rsidRPr="00D06358">
        <w:rPr>
          <w:rStyle w:val="FootnoteReference"/>
        </w:rPr>
        <w:footnoteRef/>
      </w:r>
      <w:r w:rsidRPr="00A40600">
        <w:rPr>
          <w:szCs w:val="18"/>
          <w:lang w:val="en-GB"/>
        </w:rPr>
        <w:t xml:space="preserve"> See UNEP/CHW.12/13-UNEP/FAO/RC/COP.7/13-UNEP/POPS/COP.7/13.</w:t>
      </w:r>
    </w:p>
  </w:footnote>
  <w:footnote w:id="2">
    <w:p w:rsidR="00CD4C32" w:rsidRPr="00A40600" w:rsidRDefault="00CD4C32" w:rsidP="00CD4C32">
      <w:pPr>
        <w:pStyle w:val="FootnoteText"/>
        <w:rPr>
          <w:szCs w:val="18"/>
          <w:lang w:val="en-US"/>
        </w:rPr>
      </w:pPr>
      <w:r w:rsidRPr="00D06358">
        <w:rPr>
          <w:rStyle w:val="FootnoteReference"/>
        </w:rPr>
        <w:footnoteRef/>
      </w:r>
      <w:r w:rsidRPr="008A51CB">
        <w:rPr>
          <w:rStyle w:val="FootnoteReference"/>
          <w:lang w:val="en-GB"/>
        </w:rPr>
        <w:t xml:space="preserve"> </w:t>
      </w:r>
      <w:r w:rsidRPr="00A40600">
        <w:rPr>
          <w:szCs w:val="18"/>
          <w:lang w:val="en-GB"/>
        </w:rPr>
        <w:t xml:space="preserve">See </w:t>
      </w:r>
      <w:r w:rsidRPr="00A40600">
        <w:rPr>
          <w:iCs/>
          <w:color w:val="000000"/>
          <w:szCs w:val="18"/>
          <w:lang w:val="en-GB"/>
        </w:rPr>
        <w:t>UNEP/CHW.12/</w:t>
      </w:r>
      <w:r w:rsidRPr="00A40600">
        <w:rPr>
          <w:color w:val="000000"/>
          <w:szCs w:val="18"/>
          <w:lang w:val="en-GB"/>
        </w:rPr>
        <w:t>INF/</w:t>
      </w:r>
      <w:r w:rsidRPr="00A40600">
        <w:rPr>
          <w:iCs/>
          <w:color w:val="000000"/>
          <w:szCs w:val="18"/>
          <w:lang w:val="en-GB"/>
        </w:rPr>
        <w:t>25</w:t>
      </w:r>
      <w:r w:rsidRPr="00A40600">
        <w:rPr>
          <w:color w:val="000000"/>
          <w:szCs w:val="18"/>
          <w:lang w:val="en-GB"/>
        </w:rPr>
        <w:t>-</w:t>
      </w:r>
      <w:r w:rsidRPr="00A40600">
        <w:rPr>
          <w:iCs/>
          <w:color w:val="000000"/>
          <w:szCs w:val="18"/>
          <w:lang w:val="en-GB"/>
        </w:rPr>
        <w:t>UNEP/FAO/RC/COP.7/INF/17-UNEP/POPS/COP.7/INF/16.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113A7"/>
    <w:multiLevelType w:val="multilevel"/>
    <w:tmpl w:val="6C32478A"/>
    <w:styleLink w:val="Normallist4"/>
    <w:lvl w:ilvl="0">
      <w:start w:val="1"/>
      <w:numFmt w:val="decimal"/>
      <w:lvlText w:val="%1."/>
      <w:lvlJc w:val="left"/>
      <w:pPr>
        <w:tabs>
          <w:tab w:val="num" w:pos="567"/>
        </w:tabs>
        <w:ind w:left="1247"/>
      </w:pPr>
      <w:rPr>
        <w:rFonts w:cs="Times New Roman" w:hint="default"/>
      </w:rPr>
    </w:lvl>
    <w:lvl w:ilvl="1">
      <w:start w:val="1"/>
      <w:numFmt w:val="lowerLetter"/>
      <w:lvlText w:val="(%2)"/>
      <w:lvlJc w:val="left"/>
      <w:pPr>
        <w:tabs>
          <w:tab w:val="num" w:pos="567"/>
        </w:tabs>
        <w:ind w:left="1247" w:firstLine="567"/>
      </w:pPr>
      <w:rPr>
        <w:rFonts w:cs="Times New Roman" w:hint="default"/>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abstractNum w:abstractNumId="1">
    <w:nsid w:val="58F16D2C"/>
    <w:multiLevelType w:val="hybridMultilevel"/>
    <w:tmpl w:val="EC8AE784"/>
    <w:lvl w:ilvl="0" w:tplc="4FAE3436">
      <w:start w:val="1"/>
      <w:numFmt w:val="decimal"/>
      <w:lvlText w:val="%1."/>
      <w:lvlJc w:val="left"/>
      <w:pPr>
        <w:tabs>
          <w:tab w:val="num" w:pos="2913"/>
        </w:tabs>
        <w:ind w:left="2913" w:hanging="360"/>
      </w:pPr>
      <w:rPr>
        <w:rFonts w:ascii="Times New Roman" w:hAnsi="Times New Roman" w:hint="default"/>
        <w:b w:val="0"/>
        <w:i w:val="0"/>
        <w:strike w:val="0"/>
        <w:dstrike w:val="0"/>
        <w:color w:val="auto"/>
        <w:sz w:val="20"/>
        <w:szCs w:val="20"/>
      </w:rPr>
    </w:lvl>
    <w:lvl w:ilvl="1" w:tplc="4A7621DA">
      <w:start w:val="1"/>
      <w:numFmt w:val="lowerLetter"/>
      <w:lvlText w:val="%2."/>
      <w:lvlJc w:val="left"/>
      <w:pPr>
        <w:tabs>
          <w:tab w:val="num" w:pos="1932"/>
        </w:tabs>
        <w:ind w:left="1932" w:hanging="360"/>
      </w:pPr>
    </w:lvl>
    <w:lvl w:ilvl="2" w:tplc="3202DAF2" w:tentative="1">
      <w:start w:val="1"/>
      <w:numFmt w:val="lowerRoman"/>
      <w:lvlText w:val="%3."/>
      <w:lvlJc w:val="right"/>
      <w:pPr>
        <w:tabs>
          <w:tab w:val="num" w:pos="2652"/>
        </w:tabs>
        <w:ind w:left="2652" w:hanging="180"/>
      </w:pPr>
    </w:lvl>
    <w:lvl w:ilvl="3" w:tplc="FB7432AE" w:tentative="1">
      <w:start w:val="1"/>
      <w:numFmt w:val="decimal"/>
      <w:lvlText w:val="%4."/>
      <w:lvlJc w:val="left"/>
      <w:pPr>
        <w:tabs>
          <w:tab w:val="num" w:pos="3372"/>
        </w:tabs>
        <w:ind w:left="3372" w:hanging="360"/>
      </w:pPr>
    </w:lvl>
    <w:lvl w:ilvl="4" w:tplc="9BA6DDB2" w:tentative="1">
      <w:start w:val="1"/>
      <w:numFmt w:val="lowerLetter"/>
      <w:lvlText w:val="%5."/>
      <w:lvlJc w:val="left"/>
      <w:pPr>
        <w:tabs>
          <w:tab w:val="num" w:pos="4092"/>
        </w:tabs>
        <w:ind w:left="4092" w:hanging="360"/>
      </w:pPr>
    </w:lvl>
    <w:lvl w:ilvl="5" w:tplc="B92675B2" w:tentative="1">
      <w:start w:val="1"/>
      <w:numFmt w:val="lowerRoman"/>
      <w:lvlText w:val="%6."/>
      <w:lvlJc w:val="right"/>
      <w:pPr>
        <w:tabs>
          <w:tab w:val="num" w:pos="4812"/>
        </w:tabs>
        <w:ind w:left="4812" w:hanging="180"/>
      </w:pPr>
    </w:lvl>
    <w:lvl w:ilvl="6" w:tplc="C5D86FF6" w:tentative="1">
      <w:start w:val="1"/>
      <w:numFmt w:val="decimal"/>
      <w:lvlText w:val="%7."/>
      <w:lvlJc w:val="left"/>
      <w:pPr>
        <w:tabs>
          <w:tab w:val="num" w:pos="5532"/>
        </w:tabs>
        <w:ind w:left="5532" w:hanging="360"/>
      </w:pPr>
    </w:lvl>
    <w:lvl w:ilvl="7" w:tplc="ACFA906E" w:tentative="1">
      <w:start w:val="1"/>
      <w:numFmt w:val="lowerLetter"/>
      <w:lvlText w:val="%8."/>
      <w:lvlJc w:val="left"/>
      <w:pPr>
        <w:tabs>
          <w:tab w:val="num" w:pos="6252"/>
        </w:tabs>
        <w:ind w:left="6252" w:hanging="360"/>
      </w:pPr>
    </w:lvl>
    <w:lvl w:ilvl="8" w:tplc="52BC7FB8" w:tentative="1">
      <w:start w:val="1"/>
      <w:numFmt w:val="lowerRoman"/>
      <w:lvlText w:val="%9."/>
      <w:lvlJc w:val="right"/>
      <w:pPr>
        <w:tabs>
          <w:tab w:val="num" w:pos="6972"/>
        </w:tabs>
        <w:ind w:left="6972" w:hanging="180"/>
      </w:pPr>
    </w:lvl>
  </w:abstractNum>
  <w:num w:numId="1">
    <w:abstractNumId w:val="0"/>
  </w:num>
  <w:num w:numId="2">
    <w:abstractNumId w:val="0"/>
    <w:lvlOverride w:ilvl="0">
      <w:lvl w:ilvl="0">
        <w:start w:val="1"/>
        <w:numFmt w:val="decimal"/>
        <w:lvlText w:val="%1."/>
        <w:lvlJc w:val="left"/>
        <w:pPr>
          <w:tabs>
            <w:tab w:val="num" w:pos="567"/>
          </w:tabs>
          <w:ind w:left="1247"/>
        </w:pPr>
        <w:rPr>
          <w:rFonts w:cs="Times New Roman" w:hint="default"/>
        </w:rPr>
      </w:lvl>
    </w:lvlOverride>
    <w:lvlOverride w:ilvl="1">
      <w:lvl w:ilvl="1">
        <w:start w:val="1"/>
        <w:numFmt w:val="lowerLetter"/>
        <w:lvlText w:val="(%2)"/>
        <w:lvlJc w:val="left"/>
        <w:pPr>
          <w:tabs>
            <w:tab w:val="num" w:pos="567"/>
          </w:tabs>
          <w:ind w:left="1247" w:firstLine="567"/>
        </w:pPr>
        <w:rPr>
          <w:rFonts w:cs="Times New Roman" w:hint="default"/>
        </w:rPr>
      </w:lvl>
    </w:lvlOverride>
    <w:lvlOverride w:ilvl="2">
      <w:lvl w:ilvl="2">
        <w:start w:val="1"/>
        <w:numFmt w:val="lowerRoman"/>
        <w:lvlText w:val="(%3)"/>
        <w:lvlJc w:val="left"/>
        <w:pPr>
          <w:tabs>
            <w:tab w:val="num" w:pos="567"/>
          </w:tabs>
          <w:ind w:left="2948" w:hanging="567"/>
        </w:pPr>
        <w:rPr>
          <w:rFonts w:cs="Times New Roman" w:hint="default"/>
        </w:rPr>
      </w:lvl>
    </w:lvlOverride>
    <w:lvlOverride w:ilvl="3">
      <w:lvl w:ilvl="3">
        <w:start w:val="1"/>
        <w:numFmt w:val="lowerLetter"/>
        <w:lvlText w:val="%4."/>
        <w:lvlJc w:val="left"/>
        <w:pPr>
          <w:tabs>
            <w:tab w:val="num" w:pos="567"/>
          </w:tabs>
          <w:ind w:left="3515" w:hanging="567"/>
        </w:pPr>
        <w:rPr>
          <w:rFonts w:cs="Times New Roman" w:hint="default"/>
        </w:rPr>
      </w:lvl>
    </w:lvlOverride>
    <w:lvlOverride w:ilvl="4">
      <w:lvl w:ilvl="4">
        <w:start w:val="1"/>
        <w:numFmt w:val="lowerLetter"/>
        <w:lvlText w:val="%5."/>
        <w:lvlJc w:val="left"/>
        <w:pPr>
          <w:tabs>
            <w:tab w:val="num" w:pos="6548"/>
          </w:tabs>
          <w:ind w:left="6548" w:hanging="360"/>
        </w:pPr>
        <w:rPr>
          <w:rFonts w:cs="Times New Roman" w:hint="default"/>
        </w:rPr>
      </w:lvl>
    </w:lvlOverride>
    <w:lvlOverride w:ilvl="5">
      <w:lvl w:ilvl="5">
        <w:start w:val="1"/>
        <w:numFmt w:val="lowerRoman"/>
        <w:lvlText w:val="%6."/>
        <w:lvlJc w:val="right"/>
        <w:pPr>
          <w:tabs>
            <w:tab w:val="num" w:pos="7268"/>
          </w:tabs>
          <w:ind w:left="7268" w:hanging="180"/>
        </w:pPr>
        <w:rPr>
          <w:rFonts w:cs="Times New Roman" w:hint="default"/>
        </w:rPr>
      </w:lvl>
    </w:lvlOverride>
    <w:lvlOverride w:ilvl="6">
      <w:lvl w:ilvl="6">
        <w:start w:val="1"/>
        <w:numFmt w:val="decimal"/>
        <w:lvlText w:val="%7."/>
        <w:lvlJc w:val="left"/>
        <w:pPr>
          <w:tabs>
            <w:tab w:val="num" w:pos="7988"/>
          </w:tabs>
          <w:ind w:left="7988" w:hanging="360"/>
        </w:pPr>
        <w:rPr>
          <w:rFonts w:cs="Times New Roman" w:hint="default"/>
        </w:rPr>
      </w:lvl>
    </w:lvlOverride>
    <w:lvlOverride w:ilvl="7">
      <w:lvl w:ilvl="7">
        <w:start w:val="1"/>
        <w:numFmt w:val="lowerLetter"/>
        <w:lvlText w:val="%8."/>
        <w:lvlJc w:val="left"/>
        <w:pPr>
          <w:tabs>
            <w:tab w:val="num" w:pos="8708"/>
          </w:tabs>
          <w:ind w:left="8708" w:hanging="360"/>
        </w:pPr>
        <w:rPr>
          <w:rFonts w:cs="Times New Roman" w:hint="default"/>
        </w:rPr>
      </w:lvl>
    </w:lvlOverride>
    <w:lvlOverride w:ilvl="8">
      <w:lvl w:ilvl="8">
        <w:start w:val="1"/>
        <w:numFmt w:val="lowerRoman"/>
        <w:lvlText w:val="%9."/>
        <w:lvlJc w:val="right"/>
        <w:pPr>
          <w:tabs>
            <w:tab w:val="num" w:pos="9428"/>
          </w:tabs>
          <w:ind w:left="9428" w:hanging="180"/>
        </w:pPr>
        <w:rPr>
          <w:rFonts w:cs="Times New Roman"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CD4C32"/>
    <w:rsid w:val="00045F3B"/>
    <w:rsid w:val="0009039B"/>
    <w:rsid w:val="000B18ED"/>
    <w:rsid w:val="002508C0"/>
    <w:rsid w:val="002E3F11"/>
    <w:rsid w:val="003F0B7D"/>
    <w:rsid w:val="00475D4E"/>
    <w:rsid w:val="004B7AA0"/>
    <w:rsid w:val="0055191B"/>
    <w:rsid w:val="00771173"/>
    <w:rsid w:val="008975A8"/>
    <w:rsid w:val="00B33BA9"/>
    <w:rsid w:val="00BA076F"/>
    <w:rsid w:val="00BE6CAD"/>
    <w:rsid w:val="00C21410"/>
    <w:rsid w:val="00CD4C32"/>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C32"/>
    <w:pPr>
      <w:spacing w:after="0" w:line="240" w:lineRule="auto"/>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uiPriority w:val="99"/>
    <w:rsid w:val="00CD4C32"/>
    <w:rPr>
      <w:rFonts w:ascii="Times New Roman" w:hAnsi="Times New Roman" w:cs="Times New Roman"/>
      <w:color w:val="auto"/>
      <w:sz w:val="18"/>
      <w:vertAlign w:val="superscript"/>
    </w:rPr>
  </w:style>
  <w:style w:type="paragraph" w:styleId="FootnoteText">
    <w:name w:val="footnote text"/>
    <w:aliases w:val="Geneva 9,Font: Geneva 9,Boston 10,93,single space,Footnote Text Rail EIS,ft,Char,footnote3,Footnotes,Footnote ak,fn cafc,Footnotes Char Char,Footnote Text Char Char,fn Char Char,footnote text,footnote text Char Char Char Ch,Ch,9"/>
    <w:basedOn w:val="Normal"/>
    <w:link w:val="FootnoteTextChar2"/>
    <w:uiPriority w:val="99"/>
    <w:rsid w:val="00CD4C32"/>
    <w:pPr>
      <w:tabs>
        <w:tab w:val="left" w:pos="1247"/>
        <w:tab w:val="left" w:pos="1814"/>
        <w:tab w:val="left" w:pos="2381"/>
        <w:tab w:val="left" w:pos="2948"/>
        <w:tab w:val="left" w:pos="3515"/>
        <w:tab w:val="left" w:pos="4082"/>
      </w:tabs>
      <w:spacing w:before="20" w:after="40"/>
      <w:ind w:left="1247"/>
    </w:pPr>
    <w:rPr>
      <w:sz w:val="18"/>
      <w:lang w:val="fr-FR"/>
    </w:rPr>
  </w:style>
  <w:style w:type="character" w:customStyle="1" w:styleId="FootnoteTextChar">
    <w:name w:val="Footnote Text Char"/>
    <w:basedOn w:val="DefaultParagraphFont"/>
    <w:link w:val="FootnoteText"/>
    <w:uiPriority w:val="99"/>
    <w:semiHidden/>
    <w:rsid w:val="00CD4C32"/>
    <w:rPr>
      <w:rFonts w:ascii="Times New Roman" w:eastAsia="Times New Roman" w:hAnsi="Times New Roman" w:cs="Times New Roman"/>
      <w:sz w:val="20"/>
      <w:szCs w:val="20"/>
      <w:lang w:eastAsia="en-US"/>
    </w:rPr>
  </w:style>
  <w:style w:type="character" w:customStyle="1" w:styleId="FootnoteTextChar2">
    <w:name w:val="Footnote Text Char2"/>
    <w:aliases w:val="Geneva 9 Char2,Font: Geneva 9 Char2,Boston 10 Char2,93 Char1,single space Char1,Footnote Text Rail EIS Char1,ft Char1,Char Char1,footnote3 Char1,Footnotes Char1,Footnote ak Char1,fn cafc Char1,Footnotes Char Char Char1,Ch Char,9 Char"/>
    <w:link w:val="FootnoteText"/>
    <w:uiPriority w:val="99"/>
    <w:locked/>
    <w:rsid w:val="00CD4C32"/>
    <w:rPr>
      <w:rFonts w:ascii="Times New Roman" w:eastAsia="Times New Roman" w:hAnsi="Times New Roman" w:cs="Times New Roman"/>
      <w:sz w:val="18"/>
      <w:szCs w:val="20"/>
      <w:lang w:val="fr-FR" w:eastAsia="en-US"/>
    </w:rPr>
  </w:style>
  <w:style w:type="numbering" w:customStyle="1" w:styleId="Normallist4">
    <w:name w:val="Normal_list4"/>
    <w:rsid w:val="00CD4C32"/>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lgong</dc:creator>
  <cp:lastModifiedBy>lgong</cp:lastModifiedBy>
  <cp:revision>1</cp:revision>
  <dcterms:created xsi:type="dcterms:W3CDTF">2015-12-28T13:26:00Z</dcterms:created>
  <dcterms:modified xsi:type="dcterms:W3CDTF">2015-12-28T13:26:00Z</dcterms:modified>
</cp:coreProperties>
</file>