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15" w:rsidRPr="007B5447" w:rsidRDefault="003B6415" w:rsidP="003B6415">
      <w:pPr>
        <w:spacing w:after="120"/>
        <w:ind w:left="1247"/>
        <w:rPr>
          <w:rFonts w:eastAsia="SimHei"/>
          <w:b/>
          <w:sz w:val="28"/>
          <w:szCs w:val="28"/>
          <w:lang w:eastAsia="zh-CN"/>
        </w:rPr>
      </w:pPr>
      <w:r w:rsidRPr="007B5447">
        <w:rPr>
          <w:rFonts w:eastAsia="SimHei"/>
          <w:b/>
          <w:sz w:val="28"/>
          <w:szCs w:val="28"/>
          <w:lang w:eastAsia="zh-CN"/>
        </w:rPr>
        <w:t>SC-7/16</w:t>
      </w:r>
      <w:r w:rsidRPr="007B5447">
        <w:rPr>
          <w:rFonts w:eastAsia="SimHei"/>
          <w:b/>
          <w:sz w:val="28"/>
          <w:szCs w:val="28"/>
          <w:lang w:eastAsia="zh-CN"/>
        </w:rPr>
        <w:t>：</w:t>
      </w:r>
      <w:r w:rsidRPr="007B5447">
        <w:rPr>
          <w:rFonts w:eastAsia="SimHei"/>
          <w:b/>
          <w:bCs/>
          <w:sz w:val="28"/>
          <w:szCs w:val="28"/>
          <w:lang w:eastAsia="zh-CN"/>
        </w:rPr>
        <w:t>技术援助</w:t>
      </w:r>
    </w:p>
    <w:p w:rsidR="003B6415" w:rsidRPr="004A7223" w:rsidRDefault="003B6415" w:rsidP="003B6415">
      <w:pPr>
        <w:tabs>
          <w:tab w:val="left" w:pos="624"/>
          <w:tab w:val="left" w:pos="2410"/>
        </w:tabs>
        <w:autoSpaceDE w:val="0"/>
        <w:autoSpaceDN w:val="0"/>
        <w:adjustRightInd w:val="0"/>
        <w:snapToGrid w:val="0"/>
        <w:spacing w:after="120"/>
        <w:ind w:left="1247" w:firstLine="624"/>
        <w:rPr>
          <w:rFonts w:ascii="楷体" w:eastAsia="楷体" w:hAnsi="楷体"/>
          <w:szCs w:val="24"/>
          <w:lang w:val="en-US" w:eastAsia="zh-CN"/>
        </w:rPr>
      </w:pPr>
      <w:r w:rsidRPr="004A7223">
        <w:rPr>
          <w:rFonts w:ascii="楷体" w:eastAsia="楷体" w:hAnsi="楷体" w:cs="SimSun" w:hint="eastAsia"/>
          <w:szCs w:val="24"/>
          <w:lang w:eastAsia="zh-CN"/>
        </w:rPr>
        <w:t>缔约方大会</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cs="SimSun" w:hint="eastAsia"/>
          <w:szCs w:val="24"/>
          <w:lang w:eastAsia="zh-CN"/>
        </w:rPr>
        <w:t>注意到</w:t>
      </w:r>
      <w:r w:rsidRPr="004A7223">
        <w:rPr>
          <w:rFonts w:ascii="SimSun" w:hAnsi="SimSun" w:hint="eastAsia"/>
          <w:szCs w:val="24"/>
          <w:lang w:eastAsia="zh-CN"/>
        </w:rPr>
        <w:t xml:space="preserve"> </w:t>
      </w:r>
      <w:r w:rsidRPr="004A7223">
        <w:rPr>
          <w:rFonts w:ascii="SimSun" w:hAnsi="SimSun" w:cs="SimSun" w:hint="eastAsia"/>
          <w:szCs w:val="24"/>
          <w:lang w:eastAsia="zh-CN"/>
        </w:rPr>
        <w:t>秘书处为执行《公约》提供的技术援助相关信息；</w:t>
      </w:r>
      <w:r w:rsidRPr="004A7223">
        <w:rPr>
          <w:iCs/>
          <w:szCs w:val="24"/>
          <w:vertAlign w:val="superscript"/>
        </w:rPr>
        <w:footnoteReference w:id="1"/>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cs="SimSun" w:hint="eastAsia"/>
          <w:szCs w:val="24"/>
          <w:lang w:eastAsia="zh-CN"/>
        </w:rPr>
        <w:t>欢迎</w:t>
      </w:r>
      <w:r w:rsidRPr="004A7223">
        <w:rPr>
          <w:rFonts w:ascii="楷体" w:eastAsia="楷体" w:hAnsi="楷体"/>
          <w:szCs w:val="24"/>
          <w:lang w:eastAsia="zh-CN"/>
        </w:rPr>
        <w:t xml:space="preserve"> </w:t>
      </w:r>
      <w:r w:rsidRPr="004A7223">
        <w:rPr>
          <w:rFonts w:ascii="SimSun" w:hAnsi="SimSun" w:cs="SimSun" w:hint="eastAsia"/>
          <w:szCs w:val="24"/>
          <w:lang w:eastAsia="zh-CN"/>
        </w:rPr>
        <w:t xml:space="preserve">开发一个数据库用于收集关于各缔约方在执行《公约》方面的需求，以及关于可用援助的信息； </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cs="SimSun" w:hint="eastAsia"/>
          <w:szCs w:val="24"/>
          <w:lang w:eastAsia="zh-CN"/>
        </w:rPr>
        <w:t>邀请</w:t>
      </w:r>
      <w:r w:rsidRPr="004A7223">
        <w:rPr>
          <w:szCs w:val="24"/>
          <w:lang w:eastAsia="zh-CN"/>
        </w:rPr>
        <w:t xml:space="preserve"> </w:t>
      </w:r>
      <w:r w:rsidRPr="004A7223">
        <w:rPr>
          <w:rFonts w:ascii="SimSun" w:hAnsi="SimSun" w:cs="SimSun" w:hint="eastAsia"/>
          <w:szCs w:val="24"/>
          <w:lang w:eastAsia="zh-CN"/>
        </w:rPr>
        <w:t>发展中国家缔约方和经济转型国家缔约方依据《公约》规定，向秘书处提供其在技术援助与技术转让方面的需求，其在执行《公约》方面的困难以及在此方面的任何其他意见等信息；</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cs="SimSun" w:hint="eastAsia"/>
          <w:szCs w:val="24"/>
          <w:lang w:eastAsia="zh-CN"/>
        </w:rPr>
        <w:t>邀请</w:t>
      </w:r>
      <w:r w:rsidRPr="004A7223">
        <w:rPr>
          <w:rFonts w:ascii="楷体" w:eastAsia="楷体" w:hAnsi="楷体"/>
          <w:szCs w:val="24"/>
          <w:lang w:eastAsia="zh-CN"/>
        </w:rPr>
        <w:t xml:space="preserve"> </w:t>
      </w:r>
      <w:r w:rsidRPr="004A7223">
        <w:rPr>
          <w:rFonts w:ascii="SimSun" w:hAnsi="SimSun" w:cs="SimSun" w:hint="eastAsia"/>
          <w:szCs w:val="24"/>
          <w:lang w:eastAsia="zh-CN"/>
        </w:rPr>
        <w:t>发达国家缔约方及其他有能力各方依据《公约》规定，继续向秘书处提供关于其可向发展中国家缔约方和经济转型国家缔约方提供的技术援助与可转让技术的信息；</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2B544A">
        <w:rPr>
          <w:rFonts w:ascii="楷体" w:eastAsia="楷体" w:hAnsi="楷体" w:cs="SimSun" w:hint="eastAsia"/>
          <w:szCs w:val="24"/>
          <w:lang w:eastAsia="zh-CN"/>
        </w:rPr>
        <w:t>请</w:t>
      </w:r>
      <w:r w:rsidRPr="004A7223">
        <w:rPr>
          <w:szCs w:val="24"/>
          <w:lang w:eastAsia="zh-CN"/>
        </w:rPr>
        <w:t xml:space="preserve"> </w:t>
      </w:r>
      <w:r w:rsidRPr="004A7223">
        <w:rPr>
          <w:rFonts w:ascii="SimSun" w:hAnsi="SimSun" w:cs="SimSun" w:hint="eastAsia"/>
          <w:szCs w:val="24"/>
          <w:lang w:eastAsia="zh-CN"/>
        </w:rPr>
        <w:t>秘书处继续根据上文第</w:t>
      </w:r>
      <w:r w:rsidRPr="004A7223">
        <w:rPr>
          <w:szCs w:val="24"/>
          <w:lang w:eastAsia="zh-CN"/>
        </w:rPr>
        <w:t>3</w:t>
      </w:r>
      <w:r w:rsidRPr="004A7223">
        <w:rPr>
          <w:rFonts w:ascii="SimSun" w:hAnsi="SimSun" w:cs="SimSun" w:hint="eastAsia"/>
          <w:szCs w:val="24"/>
          <w:lang w:eastAsia="zh-CN"/>
        </w:rPr>
        <w:t>和第</w:t>
      </w:r>
      <w:r w:rsidRPr="004A7223">
        <w:rPr>
          <w:szCs w:val="24"/>
          <w:lang w:eastAsia="zh-CN"/>
        </w:rPr>
        <w:t>4</w:t>
      </w:r>
      <w:r w:rsidRPr="004A7223">
        <w:rPr>
          <w:rFonts w:ascii="SimSun" w:hAnsi="SimSun" w:cs="SimSun" w:hint="eastAsia"/>
          <w:szCs w:val="24"/>
          <w:lang w:eastAsia="zh-CN"/>
        </w:rPr>
        <w:t>段通过定制的电子问卷收集信息，并充分利用数据库收集各缔约方在履行《公约》义务方面的需求，还请秘书处分析此类信息，以查明技术援助和技术转让方面的差距和障碍，并提出建议及采取行动解决这些问题；</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hint="eastAsia"/>
          <w:iCs/>
          <w:color w:val="000000"/>
          <w:szCs w:val="24"/>
          <w:lang w:eastAsia="zh-CN"/>
        </w:rPr>
        <w:t>欢迎</w:t>
      </w:r>
      <w:r w:rsidRPr="004A7223">
        <w:rPr>
          <w:rFonts w:hint="eastAsia"/>
          <w:iCs/>
          <w:color w:val="000000"/>
          <w:szCs w:val="24"/>
          <w:lang w:eastAsia="zh-CN"/>
        </w:rPr>
        <w:t xml:space="preserve"> </w:t>
      </w:r>
      <w:r w:rsidRPr="004A7223">
        <w:rPr>
          <w:rFonts w:hint="eastAsia"/>
          <w:iCs/>
          <w:color w:val="000000"/>
          <w:szCs w:val="24"/>
          <w:lang w:eastAsia="zh-CN"/>
        </w:rPr>
        <w:t>技术援助方案，</w:t>
      </w:r>
      <w:r w:rsidRPr="004A7223">
        <w:rPr>
          <w:iCs/>
          <w:color w:val="000000"/>
          <w:szCs w:val="24"/>
          <w:vertAlign w:val="superscript"/>
        </w:rPr>
        <w:footnoteReference w:id="2"/>
      </w:r>
      <w:r w:rsidRPr="004A7223">
        <w:rPr>
          <w:iCs/>
          <w:color w:val="000000"/>
          <w:szCs w:val="24"/>
          <w:lang w:eastAsia="zh-CN"/>
        </w:rPr>
        <w:t xml:space="preserve"> </w:t>
      </w:r>
      <w:r w:rsidRPr="004A7223">
        <w:rPr>
          <w:rFonts w:ascii="SimSun" w:hAnsi="SimSun" w:cs="SimSun" w:hint="eastAsia"/>
          <w:iCs/>
          <w:color w:val="000000"/>
          <w:szCs w:val="24"/>
          <w:lang w:eastAsia="zh-CN"/>
        </w:rPr>
        <w:t>并请秘书处视可得资源的情况，与相关行动者合作实施该方案并在开展工作时考虑该方案中的要素，以推动为执行《巴塞尔公约》、《</w:t>
      </w:r>
      <w:r w:rsidRPr="004A7223">
        <w:rPr>
          <w:rFonts w:hint="eastAsia"/>
          <w:szCs w:val="24"/>
          <w:lang w:val="zh-CN" w:eastAsia="zh-CN"/>
        </w:rPr>
        <w:t>关于在国际贸易中对某些危险化学品和农药采用事先知情同意程序的</w:t>
      </w:r>
      <w:r w:rsidRPr="004A7223">
        <w:rPr>
          <w:rFonts w:ascii="SimSun" w:hAnsi="SimSun" w:cs="SimSun" w:hint="eastAsia"/>
          <w:iCs/>
          <w:color w:val="000000"/>
          <w:szCs w:val="24"/>
          <w:lang w:eastAsia="zh-CN"/>
        </w:rPr>
        <w:t>鹿特丹公约》和《关于持久性有机污染物的斯德哥尔摩公约》而进行的技术转让与能力建设的交付，并敦促有条件的各缔约方和其他各方提供资金及其他资源以支持技术援助方案中各项活动的实施工作；</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hint="eastAsia"/>
          <w:szCs w:val="24"/>
          <w:lang w:eastAsia="zh-CN"/>
        </w:rPr>
        <w:t>请</w:t>
      </w:r>
      <w:r w:rsidRPr="004A7223">
        <w:rPr>
          <w:rFonts w:ascii="楷体" w:eastAsia="楷体" w:hAnsi="楷体"/>
          <w:szCs w:val="24"/>
          <w:lang w:eastAsia="zh-CN"/>
        </w:rPr>
        <w:t xml:space="preserve"> </w:t>
      </w:r>
      <w:r w:rsidRPr="004A7223">
        <w:rPr>
          <w:rFonts w:hint="eastAsia"/>
          <w:szCs w:val="24"/>
          <w:lang w:eastAsia="zh-CN"/>
        </w:rPr>
        <w:t>秘书处在实施上文第</w:t>
      </w:r>
      <w:r w:rsidRPr="004A7223">
        <w:rPr>
          <w:szCs w:val="24"/>
          <w:lang w:eastAsia="zh-CN"/>
        </w:rPr>
        <w:t>6</w:t>
      </w:r>
      <w:r w:rsidRPr="004A7223">
        <w:rPr>
          <w:rFonts w:hint="eastAsia"/>
          <w:szCs w:val="24"/>
          <w:lang w:eastAsia="zh-CN"/>
        </w:rPr>
        <w:t>段提及的</w:t>
      </w:r>
      <w:r w:rsidRPr="004A7223">
        <w:rPr>
          <w:rFonts w:hint="eastAsia"/>
          <w:iCs/>
          <w:szCs w:val="24"/>
          <w:lang w:eastAsia="zh-CN"/>
        </w:rPr>
        <w:t>技术援助方案时，考虑到发展中国家及经济转型国家由于《公约》附件</w:t>
      </w:r>
      <w:r w:rsidRPr="004A7223">
        <w:rPr>
          <w:iCs/>
          <w:szCs w:val="24"/>
          <w:lang w:eastAsia="zh-CN"/>
        </w:rPr>
        <w:t>A</w:t>
      </w:r>
      <w:r w:rsidRPr="004A7223">
        <w:rPr>
          <w:rFonts w:hint="eastAsia"/>
          <w:iCs/>
          <w:szCs w:val="24"/>
          <w:lang w:eastAsia="zh-CN"/>
        </w:rPr>
        <w:t>、</w:t>
      </w:r>
      <w:r w:rsidRPr="004A7223">
        <w:rPr>
          <w:iCs/>
          <w:szCs w:val="24"/>
          <w:lang w:eastAsia="zh-CN"/>
        </w:rPr>
        <w:t>B</w:t>
      </w:r>
      <w:r w:rsidRPr="004A7223">
        <w:rPr>
          <w:rFonts w:hint="eastAsia"/>
          <w:iCs/>
          <w:szCs w:val="24"/>
          <w:lang w:eastAsia="zh-CN"/>
        </w:rPr>
        <w:t>和</w:t>
      </w:r>
      <w:r w:rsidRPr="004A7223">
        <w:rPr>
          <w:iCs/>
          <w:szCs w:val="24"/>
          <w:lang w:eastAsia="zh-CN"/>
        </w:rPr>
        <w:t>/</w:t>
      </w:r>
      <w:r w:rsidRPr="004A7223">
        <w:rPr>
          <w:rFonts w:hint="eastAsia"/>
          <w:iCs/>
          <w:szCs w:val="24"/>
          <w:lang w:eastAsia="zh-CN"/>
        </w:rPr>
        <w:t>或</w:t>
      </w:r>
      <w:r w:rsidRPr="004A7223">
        <w:rPr>
          <w:iCs/>
          <w:szCs w:val="24"/>
          <w:lang w:eastAsia="zh-CN"/>
        </w:rPr>
        <w:t>C</w:t>
      </w:r>
      <w:r w:rsidRPr="004A7223">
        <w:rPr>
          <w:rFonts w:hint="eastAsia"/>
          <w:iCs/>
          <w:szCs w:val="24"/>
          <w:lang w:eastAsia="zh-CN"/>
        </w:rPr>
        <w:t>增列新化学品而提出的具体技术援助需求，特别是编制清单、对环境中持久性有机污染物的监测以及就控制附件</w:t>
      </w:r>
      <w:r w:rsidRPr="004A7223">
        <w:rPr>
          <w:iCs/>
          <w:szCs w:val="24"/>
          <w:lang w:eastAsia="zh-CN"/>
        </w:rPr>
        <w:t>C</w:t>
      </w:r>
      <w:r w:rsidRPr="004A7223">
        <w:rPr>
          <w:rFonts w:hint="eastAsia"/>
          <w:iCs/>
          <w:szCs w:val="24"/>
          <w:lang w:eastAsia="zh-CN"/>
        </w:rPr>
        <w:t>中新化学品的技术可得性及其成本获得相关信息等方面的需求</w:t>
      </w:r>
      <w:r w:rsidRPr="004A7223">
        <w:rPr>
          <w:rFonts w:hint="eastAsia"/>
          <w:iCs/>
          <w:color w:val="000000"/>
          <w:szCs w:val="24"/>
          <w:lang w:eastAsia="zh-CN"/>
        </w:rPr>
        <w:t>；</w:t>
      </w:r>
    </w:p>
    <w:p w:rsidR="003B6415" w:rsidRPr="004A7223" w:rsidRDefault="003B6415" w:rsidP="003B6415">
      <w:pPr>
        <w:numPr>
          <w:ilvl w:val="0"/>
          <w:numId w:val="2"/>
        </w:numPr>
        <w:tabs>
          <w:tab w:val="left" w:pos="624"/>
          <w:tab w:val="num" w:pos="2268"/>
        </w:tabs>
        <w:autoSpaceDE w:val="0"/>
        <w:autoSpaceDN w:val="0"/>
        <w:adjustRightInd w:val="0"/>
        <w:spacing w:after="120" w:line="276" w:lineRule="auto"/>
        <w:ind w:left="1247" w:firstLine="624"/>
        <w:rPr>
          <w:iCs/>
          <w:color w:val="000000"/>
          <w:szCs w:val="24"/>
          <w:lang w:eastAsia="zh-CN"/>
        </w:rPr>
      </w:pPr>
      <w:r w:rsidRPr="004A7223">
        <w:rPr>
          <w:rFonts w:ascii="楷体" w:eastAsia="楷体" w:hAnsi="楷体" w:hint="eastAsia"/>
          <w:iCs/>
          <w:color w:val="000000"/>
          <w:szCs w:val="24"/>
          <w:lang w:eastAsia="zh-CN"/>
        </w:rPr>
        <w:t>授权</w:t>
      </w:r>
      <w:r w:rsidRPr="004A7223">
        <w:rPr>
          <w:rFonts w:ascii="楷体" w:eastAsia="楷体" w:hAnsi="楷体"/>
          <w:iCs/>
          <w:color w:val="000000"/>
          <w:szCs w:val="24"/>
          <w:lang w:eastAsia="zh-CN"/>
        </w:rPr>
        <w:t xml:space="preserve"> </w:t>
      </w:r>
      <w:r w:rsidRPr="004A7223">
        <w:rPr>
          <w:rFonts w:hint="eastAsia"/>
          <w:iCs/>
          <w:color w:val="000000"/>
          <w:szCs w:val="24"/>
          <w:lang w:eastAsia="zh-CN"/>
        </w:rPr>
        <w:t>秘书处视可得资源的情况，在必要时对能力建设及技术援助项目以及区域和</w:t>
      </w:r>
      <w:r w:rsidRPr="004A7223">
        <w:rPr>
          <w:rFonts w:hint="eastAsia"/>
          <w:iCs/>
          <w:color w:val="000000"/>
          <w:szCs w:val="24"/>
          <w:lang w:eastAsia="zh-CN"/>
        </w:rPr>
        <w:t>/</w:t>
      </w:r>
      <w:r w:rsidRPr="004A7223">
        <w:rPr>
          <w:rFonts w:hint="eastAsia"/>
          <w:iCs/>
          <w:color w:val="000000"/>
          <w:szCs w:val="24"/>
          <w:lang w:eastAsia="zh-CN"/>
        </w:rPr>
        <w:t>或国家层面执行公约的其他相关活动外包独立财务审计；</w:t>
      </w:r>
    </w:p>
    <w:p w:rsidR="003B6415" w:rsidRPr="004A7223" w:rsidRDefault="003B6415" w:rsidP="003B6415">
      <w:pPr>
        <w:numPr>
          <w:ilvl w:val="0"/>
          <w:numId w:val="2"/>
        </w:numPr>
        <w:tabs>
          <w:tab w:val="left" w:pos="624"/>
          <w:tab w:val="num" w:pos="2268"/>
        </w:tabs>
        <w:autoSpaceDE w:val="0"/>
        <w:autoSpaceDN w:val="0"/>
        <w:adjustRightInd w:val="0"/>
        <w:spacing w:after="120"/>
        <w:ind w:left="1247" w:firstLine="624"/>
        <w:rPr>
          <w:iCs/>
          <w:color w:val="000000"/>
          <w:szCs w:val="24"/>
          <w:lang w:eastAsia="zh-CN"/>
        </w:rPr>
      </w:pPr>
      <w:r w:rsidRPr="004A7223">
        <w:rPr>
          <w:rFonts w:ascii="楷体" w:eastAsia="楷体" w:hAnsi="楷体" w:cs="SimSun" w:hint="eastAsia"/>
          <w:iCs/>
          <w:color w:val="000000"/>
          <w:szCs w:val="24"/>
          <w:lang w:eastAsia="zh-CN"/>
        </w:rPr>
        <w:t>强调</w:t>
      </w:r>
      <w:r w:rsidRPr="004A7223">
        <w:rPr>
          <w:rFonts w:ascii="楷体" w:eastAsia="楷体" w:hAnsi="楷体"/>
          <w:iCs/>
          <w:color w:val="000000"/>
          <w:szCs w:val="24"/>
          <w:lang w:eastAsia="zh-CN"/>
        </w:rPr>
        <w:t xml:space="preserve"> </w:t>
      </w:r>
      <w:r w:rsidRPr="004A7223">
        <w:rPr>
          <w:iCs/>
          <w:color w:val="000000"/>
          <w:szCs w:val="24"/>
          <w:lang w:eastAsia="zh-CN"/>
        </w:rPr>
        <w:t xml:space="preserve"> </w:t>
      </w:r>
      <w:r w:rsidRPr="004A7223">
        <w:rPr>
          <w:rFonts w:hint="eastAsia"/>
          <w:iCs/>
          <w:color w:val="000000"/>
          <w:szCs w:val="24"/>
          <w:lang w:eastAsia="zh-CN"/>
        </w:rPr>
        <w:t>按</w:t>
      </w:r>
      <w:r w:rsidRPr="004A7223">
        <w:rPr>
          <w:rFonts w:ascii="SimSun" w:hAnsi="SimSun" w:cs="SimSun" w:hint="eastAsia"/>
          <w:iCs/>
          <w:color w:val="000000"/>
          <w:szCs w:val="24"/>
          <w:lang w:eastAsia="zh-CN"/>
        </w:rPr>
        <w:t>《控制危险废物越境转移及其处置巴塞尔公约》和《关于持久性有机污染物的斯德哥尔摩公约》的规定，其区域中心以及联合国</w:t>
      </w:r>
      <w:r w:rsidRPr="004A7223">
        <w:rPr>
          <w:rFonts w:ascii="SimSun" w:hAnsi="SimSun" w:cs="SimSun" w:hint="eastAsia"/>
          <w:iCs/>
          <w:color w:val="000000"/>
          <w:szCs w:val="24"/>
          <w:lang w:eastAsia="zh-CN"/>
        </w:rPr>
        <w:lastRenderedPageBreak/>
        <w:t>粮食及农业组织的区域和次区域办事处，对于在接到请求时在区域一级交付与技术援助方案实施有关的技术援助以及在推动向符合资格的缔约方转让技术方面发挥的关键作用；</w:t>
      </w:r>
      <w:r w:rsidRPr="004A7223">
        <w:rPr>
          <w:iCs/>
          <w:color w:val="000000"/>
          <w:szCs w:val="24"/>
          <w:lang w:eastAsia="zh-CN"/>
        </w:rPr>
        <w:t xml:space="preserve"> </w:t>
      </w:r>
    </w:p>
    <w:p w:rsidR="003B6415" w:rsidRPr="004A7223" w:rsidRDefault="003B6415" w:rsidP="003B6415">
      <w:pPr>
        <w:numPr>
          <w:ilvl w:val="0"/>
          <w:numId w:val="2"/>
        </w:numPr>
        <w:tabs>
          <w:tab w:val="num" w:pos="2268"/>
        </w:tabs>
        <w:autoSpaceDE w:val="0"/>
        <w:autoSpaceDN w:val="0"/>
        <w:adjustRightInd w:val="0"/>
        <w:spacing w:after="120"/>
        <w:ind w:left="1247" w:firstLine="624"/>
        <w:rPr>
          <w:iCs/>
          <w:color w:val="000000"/>
          <w:szCs w:val="24"/>
        </w:rPr>
      </w:pPr>
      <w:r w:rsidRPr="004A7223">
        <w:rPr>
          <w:rFonts w:ascii="楷体" w:eastAsia="楷体" w:hAnsi="楷体" w:hint="eastAsia"/>
          <w:iCs/>
          <w:color w:val="000000"/>
          <w:szCs w:val="24"/>
          <w:lang w:eastAsia="zh-CN"/>
        </w:rPr>
        <w:t>请</w:t>
      </w:r>
      <w:r w:rsidRPr="004A7223">
        <w:rPr>
          <w:iCs/>
          <w:color w:val="000000"/>
          <w:szCs w:val="24"/>
          <w:lang w:eastAsia="zh-CN"/>
        </w:rPr>
        <w:t xml:space="preserve"> </w:t>
      </w:r>
      <w:r w:rsidRPr="004A7223">
        <w:rPr>
          <w:rFonts w:hint="eastAsia"/>
          <w:iCs/>
          <w:color w:val="000000"/>
          <w:szCs w:val="24"/>
          <w:lang w:eastAsia="zh-CN"/>
        </w:rPr>
        <w:t>秘书处：</w:t>
      </w:r>
      <w:r w:rsidRPr="004A7223">
        <w:rPr>
          <w:iCs/>
          <w:color w:val="000000"/>
          <w:szCs w:val="24"/>
        </w:rPr>
        <w:t xml:space="preserve"> </w:t>
      </w:r>
    </w:p>
    <w:p w:rsidR="003B6415" w:rsidRPr="007B5447" w:rsidRDefault="003B6415" w:rsidP="003B6415">
      <w:pPr>
        <w:numPr>
          <w:ilvl w:val="1"/>
          <w:numId w:val="3"/>
        </w:numPr>
        <w:autoSpaceDE w:val="0"/>
        <w:autoSpaceDN w:val="0"/>
        <w:adjustRightInd w:val="0"/>
        <w:spacing w:after="120"/>
        <w:ind w:firstLine="624"/>
        <w:rPr>
          <w:color w:val="000000"/>
          <w:szCs w:val="24"/>
          <w:lang w:eastAsia="zh-CN"/>
        </w:rPr>
      </w:pPr>
      <w:r w:rsidRPr="007B5447">
        <w:rPr>
          <w:rFonts w:ascii="SimSun" w:hAnsi="SimSun" w:cs="SimSun" w:hint="eastAsia"/>
          <w:color w:val="000000"/>
          <w:szCs w:val="24"/>
          <w:lang w:eastAsia="zh-CN"/>
        </w:rPr>
        <w:t>在考虑到根据上文第</w:t>
      </w:r>
      <w:r w:rsidRPr="007B5447">
        <w:rPr>
          <w:color w:val="000000"/>
          <w:szCs w:val="24"/>
          <w:lang w:eastAsia="zh-CN"/>
        </w:rPr>
        <w:t>3</w:t>
      </w:r>
      <w:r w:rsidRPr="007B5447">
        <w:rPr>
          <w:rFonts w:ascii="SimSun" w:hAnsi="SimSun" w:cs="SimSun" w:hint="eastAsia"/>
          <w:color w:val="000000"/>
          <w:szCs w:val="24"/>
          <w:lang w:eastAsia="zh-CN"/>
        </w:rPr>
        <w:t>和第</w:t>
      </w:r>
      <w:r w:rsidRPr="007B5447">
        <w:rPr>
          <w:color w:val="000000"/>
          <w:szCs w:val="24"/>
          <w:lang w:eastAsia="zh-CN"/>
        </w:rPr>
        <w:t>4</w:t>
      </w:r>
      <w:r w:rsidRPr="007B5447">
        <w:rPr>
          <w:rFonts w:ascii="SimSun" w:hAnsi="SimSun" w:cs="SimSun" w:hint="eastAsia"/>
          <w:color w:val="000000"/>
          <w:szCs w:val="24"/>
          <w:lang w:eastAsia="zh-CN"/>
        </w:rPr>
        <w:t>段收集的信息基础上，向缔约方大会下一次会议提交一份向各缔约方提供能力建设技术援助与促进技术转让的进展报告；</w:t>
      </w:r>
    </w:p>
    <w:p w:rsidR="003B6415" w:rsidRPr="007B5447" w:rsidRDefault="003B6415" w:rsidP="003B6415">
      <w:pPr>
        <w:numPr>
          <w:ilvl w:val="1"/>
          <w:numId w:val="3"/>
        </w:numPr>
        <w:autoSpaceDE w:val="0"/>
        <w:autoSpaceDN w:val="0"/>
        <w:adjustRightInd w:val="0"/>
        <w:spacing w:after="120"/>
        <w:ind w:firstLine="624"/>
        <w:rPr>
          <w:szCs w:val="24"/>
          <w:lang w:eastAsia="zh-CN"/>
        </w:rPr>
      </w:pPr>
      <w:r w:rsidRPr="007B5447">
        <w:rPr>
          <w:rFonts w:ascii="SimSun" w:hAnsi="SimSun" w:cs="SimSun" w:hint="eastAsia"/>
          <w:color w:val="000000"/>
          <w:szCs w:val="24"/>
          <w:lang w:eastAsia="zh-CN"/>
        </w:rPr>
        <w:t>基于根据上文第</w:t>
      </w:r>
      <w:r w:rsidRPr="007B5447">
        <w:rPr>
          <w:color w:val="000000"/>
          <w:szCs w:val="24"/>
          <w:lang w:eastAsia="zh-CN"/>
        </w:rPr>
        <w:t>3</w:t>
      </w:r>
      <w:r w:rsidRPr="007B5447">
        <w:rPr>
          <w:rFonts w:ascii="SimSun" w:hAnsi="SimSun" w:cs="SimSun" w:hint="eastAsia"/>
          <w:color w:val="000000"/>
          <w:szCs w:val="24"/>
          <w:lang w:eastAsia="zh-CN"/>
        </w:rPr>
        <w:t>和第</w:t>
      </w:r>
      <w:r w:rsidRPr="007B5447">
        <w:rPr>
          <w:color w:val="000000"/>
          <w:szCs w:val="24"/>
          <w:lang w:eastAsia="zh-CN"/>
        </w:rPr>
        <w:t>4</w:t>
      </w:r>
      <w:r w:rsidRPr="007B5447">
        <w:rPr>
          <w:rFonts w:ascii="SimSun" w:hAnsi="SimSun" w:cs="SimSun" w:hint="eastAsia"/>
          <w:color w:val="000000"/>
          <w:szCs w:val="24"/>
          <w:lang w:eastAsia="zh-CN"/>
        </w:rPr>
        <w:t>段收集的信息并在考虑协同增效进程以及技术援助方案评价情况的基础上，编写</w:t>
      </w:r>
      <w:r w:rsidRPr="007B5447">
        <w:rPr>
          <w:color w:val="000000"/>
          <w:szCs w:val="24"/>
          <w:lang w:eastAsia="zh-CN"/>
        </w:rPr>
        <w:t>2018-2019</w:t>
      </w:r>
      <w:r w:rsidRPr="007B5447">
        <w:rPr>
          <w:rFonts w:ascii="SimSun" w:hAnsi="SimSun" w:cs="SimSun" w:hint="eastAsia"/>
          <w:color w:val="000000"/>
          <w:szCs w:val="24"/>
          <w:lang w:eastAsia="zh-CN"/>
        </w:rPr>
        <w:t>年两年期技术援助方案。</w:t>
      </w:r>
    </w:p>
    <w:p w:rsidR="000B18ED" w:rsidRDefault="000B18ED" w:rsidP="003B6415">
      <w:pPr>
        <w:rPr>
          <w:lang w:eastAsia="zh-CN"/>
        </w:rPr>
      </w:pPr>
    </w:p>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B6" w:rsidRDefault="005046B6" w:rsidP="003B6415">
      <w:r>
        <w:separator/>
      </w:r>
    </w:p>
  </w:endnote>
  <w:endnote w:type="continuationSeparator" w:id="0">
    <w:p w:rsidR="005046B6" w:rsidRDefault="005046B6" w:rsidP="003B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B6" w:rsidRDefault="005046B6" w:rsidP="003B6415">
      <w:r>
        <w:separator/>
      </w:r>
    </w:p>
  </w:footnote>
  <w:footnote w:type="continuationSeparator" w:id="0">
    <w:p w:rsidR="005046B6" w:rsidRDefault="005046B6" w:rsidP="003B6415">
      <w:r>
        <w:continuationSeparator/>
      </w:r>
    </w:p>
  </w:footnote>
  <w:footnote w:id="1">
    <w:p w:rsidR="003B6415" w:rsidRPr="00D657FD" w:rsidRDefault="003B6415" w:rsidP="003B6415">
      <w:pPr>
        <w:pStyle w:val="FootnoteText"/>
        <w:rPr>
          <w:rFonts w:hint="eastAsia"/>
          <w:sz w:val="20"/>
          <w:lang w:eastAsia="zh-CN"/>
        </w:rPr>
      </w:pPr>
      <w:r w:rsidRPr="00D657FD">
        <w:rPr>
          <w:rStyle w:val="FootnoteReference"/>
          <w:sz w:val="20"/>
        </w:rPr>
        <w:footnoteRef/>
      </w:r>
      <w:r w:rsidRPr="00D657FD">
        <w:rPr>
          <w:sz w:val="20"/>
        </w:rPr>
        <w:t xml:space="preserve"> </w:t>
      </w:r>
      <w:r w:rsidRPr="00D657FD">
        <w:rPr>
          <w:rFonts w:hint="eastAsia"/>
          <w:sz w:val="20"/>
          <w:lang w:eastAsia="zh-CN"/>
        </w:rPr>
        <w:t>见</w:t>
      </w:r>
      <w:r w:rsidRPr="00D657FD">
        <w:rPr>
          <w:sz w:val="20"/>
        </w:rPr>
        <w:t>UNEP/CHW.12/13-UNEP/FAO/RC/COP.7/13-UNEP/POPS/COP.7/13</w:t>
      </w:r>
      <w:r w:rsidRPr="00D657FD">
        <w:rPr>
          <w:rFonts w:hint="eastAsia"/>
          <w:sz w:val="20"/>
          <w:lang w:eastAsia="zh-CN"/>
        </w:rPr>
        <w:t>。</w:t>
      </w:r>
    </w:p>
  </w:footnote>
  <w:footnote w:id="2">
    <w:p w:rsidR="003B6415" w:rsidRPr="00D657FD" w:rsidRDefault="003B6415" w:rsidP="003B6415">
      <w:pPr>
        <w:pStyle w:val="FootnoteText"/>
        <w:rPr>
          <w:rFonts w:hint="eastAsia"/>
          <w:sz w:val="20"/>
          <w:lang w:eastAsia="zh-CN"/>
        </w:rPr>
      </w:pPr>
      <w:r w:rsidRPr="00D657FD">
        <w:rPr>
          <w:rStyle w:val="FootnoteReference"/>
          <w:sz w:val="20"/>
        </w:rPr>
        <w:footnoteRef/>
      </w:r>
      <w:r w:rsidRPr="00D657FD">
        <w:rPr>
          <w:sz w:val="20"/>
        </w:rPr>
        <w:t xml:space="preserve"> </w:t>
      </w:r>
      <w:r w:rsidRPr="00D657FD">
        <w:rPr>
          <w:rFonts w:hint="eastAsia"/>
          <w:sz w:val="20"/>
          <w:lang w:eastAsia="zh-CN"/>
        </w:rPr>
        <w:t>见</w:t>
      </w:r>
      <w:r w:rsidRPr="00D657FD">
        <w:rPr>
          <w:iCs/>
          <w:color w:val="000000"/>
          <w:sz w:val="20"/>
        </w:rPr>
        <w:t>UNEP/CHW.12/</w:t>
      </w:r>
      <w:r w:rsidRPr="00D657FD">
        <w:rPr>
          <w:color w:val="000000"/>
          <w:sz w:val="20"/>
        </w:rPr>
        <w:t>INF/</w:t>
      </w:r>
      <w:r w:rsidRPr="00D657FD">
        <w:rPr>
          <w:iCs/>
          <w:color w:val="000000"/>
          <w:sz w:val="20"/>
        </w:rPr>
        <w:t>25</w:t>
      </w:r>
      <w:r w:rsidRPr="00D657FD">
        <w:rPr>
          <w:color w:val="000000"/>
          <w:sz w:val="20"/>
        </w:rPr>
        <w:t>-</w:t>
      </w:r>
      <w:r w:rsidRPr="00D657FD">
        <w:rPr>
          <w:iCs/>
          <w:color w:val="000000"/>
          <w:sz w:val="20"/>
        </w:rPr>
        <w:t>UNEP/FAO/RC/COP.7/INF/17-UNEP/POPS/COP.7/INF/16</w:t>
      </w:r>
      <w:r w:rsidRPr="00D657FD">
        <w:rPr>
          <w:rFonts w:hint="eastAsia"/>
          <w:iCs/>
          <w:color w:val="000000"/>
          <w:sz w:val="20"/>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6C32478A"/>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
    <w:nsid w:val="58F16D2C"/>
    <w:multiLevelType w:val="hybridMultilevel"/>
    <w:tmpl w:val="5EAE9AA6"/>
    <w:lvl w:ilvl="0" w:tplc="5A0ACBE0">
      <w:start w:val="1"/>
      <w:numFmt w:val="decimal"/>
      <w:lvlText w:val="%1."/>
      <w:lvlJc w:val="left"/>
      <w:pPr>
        <w:tabs>
          <w:tab w:val="num" w:pos="2913"/>
        </w:tabs>
        <w:ind w:left="2913" w:hanging="360"/>
      </w:pPr>
      <w:rPr>
        <w:rFonts w:ascii="Times New Roman" w:hAnsi="Times New Roman" w:hint="default"/>
        <w:b w:val="0"/>
        <w:i w:val="0"/>
        <w:strike w:val="0"/>
        <w:dstrike w:val="0"/>
        <w:color w:val="auto"/>
        <w:sz w:val="24"/>
        <w:szCs w:val="24"/>
      </w:rPr>
    </w:lvl>
    <w:lvl w:ilvl="1" w:tplc="4A7621DA">
      <w:start w:val="1"/>
      <w:numFmt w:val="lowerLetter"/>
      <w:lvlText w:val="%2."/>
      <w:lvlJc w:val="left"/>
      <w:pPr>
        <w:tabs>
          <w:tab w:val="num" w:pos="1932"/>
        </w:tabs>
        <w:ind w:left="1932" w:hanging="360"/>
      </w:pPr>
    </w:lvl>
    <w:lvl w:ilvl="2" w:tplc="3202DAF2" w:tentative="1">
      <w:start w:val="1"/>
      <w:numFmt w:val="lowerRoman"/>
      <w:lvlText w:val="%3."/>
      <w:lvlJc w:val="right"/>
      <w:pPr>
        <w:tabs>
          <w:tab w:val="num" w:pos="2652"/>
        </w:tabs>
        <w:ind w:left="2652" w:hanging="180"/>
      </w:pPr>
    </w:lvl>
    <w:lvl w:ilvl="3" w:tplc="FB7432AE" w:tentative="1">
      <w:start w:val="1"/>
      <w:numFmt w:val="decimal"/>
      <w:lvlText w:val="%4."/>
      <w:lvlJc w:val="left"/>
      <w:pPr>
        <w:tabs>
          <w:tab w:val="num" w:pos="3372"/>
        </w:tabs>
        <w:ind w:left="3372" w:hanging="360"/>
      </w:pPr>
    </w:lvl>
    <w:lvl w:ilvl="4" w:tplc="9BA6DDB2" w:tentative="1">
      <w:start w:val="1"/>
      <w:numFmt w:val="lowerLetter"/>
      <w:lvlText w:val="%5."/>
      <w:lvlJc w:val="left"/>
      <w:pPr>
        <w:tabs>
          <w:tab w:val="num" w:pos="4092"/>
        </w:tabs>
        <w:ind w:left="4092" w:hanging="360"/>
      </w:pPr>
    </w:lvl>
    <w:lvl w:ilvl="5" w:tplc="B92675B2" w:tentative="1">
      <w:start w:val="1"/>
      <w:numFmt w:val="lowerRoman"/>
      <w:lvlText w:val="%6."/>
      <w:lvlJc w:val="right"/>
      <w:pPr>
        <w:tabs>
          <w:tab w:val="num" w:pos="4812"/>
        </w:tabs>
        <w:ind w:left="4812" w:hanging="180"/>
      </w:pPr>
    </w:lvl>
    <w:lvl w:ilvl="6" w:tplc="C5D86FF6" w:tentative="1">
      <w:start w:val="1"/>
      <w:numFmt w:val="decimal"/>
      <w:lvlText w:val="%7."/>
      <w:lvlJc w:val="left"/>
      <w:pPr>
        <w:tabs>
          <w:tab w:val="num" w:pos="5532"/>
        </w:tabs>
        <w:ind w:left="5532" w:hanging="360"/>
      </w:pPr>
    </w:lvl>
    <w:lvl w:ilvl="7" w:tplc="ACFA906E" w:tentative="1">
      <w:start w:val="1"/>
      <w:numFmt w:val="lowerLetter"/>
      <w:lvlText w:val="%8."/>
      <w:lvlJc w:val="left"/>
      <w:pPr>
        <w:tabs>
          <w:tab w:val="num" w:pos="6252"/>
        </w:tabs>
        <w:ind w:left="6252" w:hanging="360"/>
      </w:pPr>
    </w:lvl>
    <w:lvl w:ilvl="8" w:tplc="52BC7FB8" w:tentative="1">
      <w:start w:val="1"/>
      <w:numFmt w:val="lowerRoman"/>
      <w:lvlText w:val="%9."/>
      <w:lvlJc w:val="right"/>
      <w:pPr>
        <w:tabs>
          <w:tab w:val="num" w:pos="6972"/>
        </w:tabs>
        <w:ind w:left="6972" w:hanging="180"/>
      </w:pPr>
    </w:lvl>
  </w:abstractNum>
  <w:num w:numId="1">
    <w:abstractNumId w:val="0"/>
  </w:num>
  <w:num w:numId="2">
    <w:abstractNumId w:val="1"/>
  </w:num>
  <w:num w:numId="3">
    <w:abstractNumId w:val="0"/>
    <w:lvlOverride w:ilvl="0">
      <w:startOverride w:val="1"/>
      <w:lvl w:ilvl="0">
        <w:start w:val="1"/>
        <w:numFmt w:val="decimal"/>
        <w:lvlText w:val="%1."/>
        <w:lvlJc w:val="left"/>
        <w:pPr>
          <w:tabs>
            <w:tab w:val="num" w:pos="567"/>
          </w:tabs>
          <w:ind w:left="1247" w:firstLine="0"/>
        </w:pPr>
        <w:rPr>
          <w:rFonts w:hint="default"/>
          <w:sz w:val="24"/>
          <w:szCs w:val="24"/>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3B6415"/>
    <w:rsid w:val="00045F3B"/>
    <w:rsid w:val="0009039B"/>
    <w:rsid w:val="000B18ED"/>
    <w:rsid w:val="002508C0"/>
    <w:rsid w:val="002E3F11"/>
    <w:rsid w:val="003B6415"/>
    <w:rsid w:val="00475D4E"/>
    <w:rsid w:val="004B7AA0"/>
    <w:rsid w:val="005046B6"/>
    <w:rsid w:val="0055191B"/>
    <w:rsid w:val="00771173"/>
    <w:rsid w:val="00893563"/>
    <w:rsid w:val="00B33BA9"/>
    <w:rsid w:val="00BA076F"/>
    <w:rsid w:val="00BE6CAD"/>
    <w:rsid w:val="00C2141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15"/>
    <w:pPr>
      <w:spacing w:after="0" w:line="240" w:lineRule="auto"/>
    </w:pPr>
    <w:rPr>
      <w:rFonts w:ascii="Times New Roman" w:eastAsia="SimSu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3B6415"/>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rsid w:val="003B6415"/>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3B6415"/>
    <w:rPr>
      <w:rFonts w:ascii="Times New Roman" w:eastAsia="SimSu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3B6415"/>
    <w:rPr>
      <w:rFonts w:ascii="Times New Roman" w:eastAsia="SimSun" w:hAnsi="Times New Roman" w:cs="Times New Roman"/>
      <w:sz w:val="18"/>
      <w:szCs w:val="20"/>
      <w:lang w:val="fr-FR"/>
    </w:rPr>
  </w:style>
  <w:style w:type="numbering" w:customStyle="1" w:styleId="Normallist4">
    <w:name w:val="Normal_list4"/>
    <w:rsid w:val="003B641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2015-12-23T14:58:00Z</dcterms:created>
  <dcterms:modified xsi:type="dcterms:W3CDTF">2015-12-23T14:58:00Z</dcterms:modified>
</cp:coreProperties>
</file>